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C1" w:rsidRPr="001B54C1" w:rsidRDefault="001B54C1" w:rsidP="001B54C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54C1">
        <w:rPr>
          <w:rFonts w:eastAsia="Times New Roman"/>
          <w:b/>
          <w:bCs/>
          <w:sz w:val="32"/>
          <w:szCs w:val="32"/>
          <w:lang w:eastAsia="ru-RU"/>
        </w:rPr>
        <w:t>СОВЕТ ДЕПУТАТОВ</w:t>
      </w:r>
    </w:p>
    <w:p w:rsidR="001B54C1" w:rsidRPr="001B54C1" w:rsidRDefault="001B54C1" w:rsidP="001B54C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54C1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 СЕЛЬСКОЕ ПОСЕЛЕНИЕ «НОВОЗАГАНСКОЕ» МУХОРШИБИРСКОГО РАЙОНА РЕСПУБЛИКИ БУРЯТИЯ </w:t>
      </w:r>
    </w:p>
    <w:p w:rsidR="001B54C1" w:rsidRPr="001B54C1" w:rsidRDefault="001B54C1" w:rsidP="001B54C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54C1">
        <w:rPr>
          <w:rFonts w:eastAsia="Times New Roman"/>
          <w:b/>
          <w:bCs/>
          <w:sz w:val="32"/>
          <w:szCs w:val="32"/>
          <w:lang w:eastAsia="ru-RU"/>
        </w:rPr>
        <w:t>РЕШЕНИЕ </w:t>
      </w:r>
    </w:p>
    <w:p w:rsidR="001B54C1" w:rsidRPr="001B54C1" w:rsidRDefault="001B54C1" w:rsidP="001B54C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54C1">
        <w:rPr>
          <w:rFonts w:eastAsia="Times New Roman"/>
          <w:b/>
          <w:bCs/>
          <w:sz w:val="32"/>
          <w:szCs w:val="32"/>
          <w:lang w:eastAsia="ru-RU"/>
        </w:rPr>
        <w:t xml:space="preserve">от «29» декабря 2021 г.                                                                                    </w:t>
      </w:r>
      <w:r w:rsidRPr="001B54C1">
        <w:rPr>
          <w:rFonts w:eastAsia="Times New Roman"/>
          <w:b/>
          <w:bCs/>
          <w:caps/>
          <w:sz w:val="32"/>
          <w:szCs w:val="32"/>
          <w:lang w:eastAsia="ru-RU"/>
        </w:rPr>
        <w:t>№ 43</w:t>
      </w:r>
    </w:p>
    <w:p w:rsidR="001B54C1" w:rsidRPr="001B54C1" w:rsidRDefault="001B54C1" w:rsidP="001B54C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54C1">
        <w:rPr>
          <w:rFonts w:eastAsia="Times New Roman"/>
          <w:b/>
          <w:bCs/>
          <w:sz w:val="32"/>
          <w:szCs w:val="32"/>
          <w:lang w:eastAsia="ru-RU"/>
        </w:rPr>
        <w:t> </w:t>
      </w:r>
    </w:p>
    <w:p w:rsidR="001B54C1" w:rsidRPr="001B54C1" w:rsidRDefault="001B54C1" w:rsidP="001B54C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54C1">
        <w:rPr>
          <w:rFonts w:eastAsia="Times New Roman"/>
          <w:b/>
          <w:bCs/>
          <w:sz w:val="32"/>
          <w:szCs w:val="32"/>
          <w:lang w:eastAsia="ru-RU"/>
        </w:rPr>
        <w:t>«О местном бюджете муниципального образования сельское поселение «Новозаганское» на 2022 год и на плановый период 2023 и 2024 годов»</w:t>
      </w:r>
    </w:p>
    <w:p w:rsidR="001B54C1" w:rsidRPr="00252CC6" w:rsidRDefault="001B54C1" w:rsidP="001B54C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1B54C1">
        <w:rPr>
          <w:rFonts w:eastAsia="Times New Roman"/>
          <w:sz w:val="24"/>
          <w:szCs w:val="24"/>
          <w:lang w:eastAsia="ru-RU"/>
        </w:rPr>
        <w:t> 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Статья 1. </w:t>
      </w:r>
      <w:r w:rsidRPr="00252CC6">
        <w:rPr>
          <w:rFonts w:eastAsia="Times New Roman"/>
          <w:b/>
          <w:bCs/>
          <w:sz w:val="28"/>
          <w:szCs w:val="28"/>
          <w:lang w:eastAsia="ru-RU"/>
        </w:rPr>
        <w:t>Основные характеристики местного бюджета на 2022 год и на плановый период 2023 и 2024 годов.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1) Утвердить основные характеристики местного бюджета на 2022 год: 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- общий объём доходов в сумме 3 873,144 тыс. рублей, в том числе безвозмездных поступлений в сумме 2 161,044 тыс. рублей;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- общий объём расходов в сумме 3 873,144 тыс. рублей;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- дефицит (</w:t>
      </w:r>
      <w:proofErr w:type="spellStart"/>
      <w:r w:rsidRPr="00252CC6">
        <w:rPr>
          <w:rFonts w:eastAsia="Times New Roman"/>
          <w:sz w:val="28"/>
          <w:szCs w:val="28"/>
          <w:lang w:eastAsia="ru-RU"/>
        </w:rPr>
        <w:t>профицит</w:t>
      </w:r>
      <w:proofErr w:type="spellEnd"/>
      <w:r w:rsidRPr="00252CC6">
        <w:rPr>
          <w:rFonts w:eastAsia="Times New Roman"/>
          <w:sz w:val="28"/>
          <w:szCs w:val="28"/>
          <w:lang w:eastAsia="ru-RU"/>
        </w:rPr>
        <w:t>) в сумме 0,000 тыс. рублей.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2) Утвердить основные характеристики местного бюджета на 2023 год: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- общий объём доходов в сумме 3 900,768 тыс. рублей, в том числе безвозмездных поступлений в сумме 2 167,868 тыс. рублей;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- общий объём расходов в сумме 3 900,768 тыс. рублей, в том числе условно утвержденные расходы в сумме 88,687 тыс. рублей;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- дефицит (</w:t>
      </w:r>
      <w:proofErr w:type="spellStart"/>
      <w:r w:rsidRPr="00252CC6">
        <w:rPr>
          <w:rFonts w:eastAsia="Times New Roman"/>
          <w:sz w:val="28"/>
          <w:szCs w:val="28"/>
          <w:lang w:eastAsia="ru-RU"/>
        </w:rPr>
        <w:t>профицит</w:t>
      </w:r>
      <w:proofErr w:type="spellEnd"/>
      <w:r w:rsidRPr="00252CC6">
        <w:rPr>
          <w:rFonts w:eastAsia="Times New Roman"/>
          <w:sz w:val="28"/>
          <w:szCs w:val="28"/>
          <w:lang w:eastAsia="ru-RU"/>
        </w:rPr>
        <w:t>) в сумме 0,000 тыс. рублей.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3) Утвердить основные характеристики местного бюджета на 2023 год: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- общий объём доходов в сумме 3 932,801тыс. рублей, в том числе безвозмездных поступлений в сумме 2 112,520 тыс. рублей;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lastRenderedPageBreak/>
        <w:t>- общий объём расходов в сумме 3 932,801 тыс. рублей, в том числе условно утвержденные расходы 178,311 тыс. рублей;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- дефицит (</w:t>
      </w:r>
      <w:proofErr w:type="spellStart"/>
      <w:r w:rsidRPr="00252CC6">
        <w:rPr>
          <w:rFonts w:eastAsia="Times New Roman"/>
          <w:sz w:val="28"/>
          <w:szCs w:val="28"/>
          <w:lang w:eastAsia="ru-RU"/>
        </w:rPr>
        <w:t>профицит</w:t>
      </w:r>
      <w:proofErr w:type="spellEnd"/>
      <w:r w:rsidRPr="00252CC6">
        <w:rPr>
          <w:rFonts w:eastAsia="Times New Roman"/>
          <w:sz w:val="28"/>
          <w:szCs w:val="28"/>
          <w:lang w:eastAsia="ru-RU"/>
        </w:rPr>
        <w:t>) в сумме 0,000 тыс. рублей.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Статья 2. </w:t>
      </w:r>
      <w:r w:rsidRPr="00252CC6">
        <w:rPr>
          <w:rFonts w:eastAsia="Times New Roman"/>
          <w:b/>
          <w:bCs/>
          <w:sz w:val="28"/>
          <w:szCs w:val="28"/>
          <w:lang w:eastAsia="ru-RU"/>
        </w:rPr>
        <w:t>Налоговые и неналоговые доходы местного бюджета.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Утвердить налоговые и неналоговые доходы местного бюджета: 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2022 год согласно приложению 1 к настоящему Решению;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2023 -2024 годы согласно приложению 2 к настоящему Решению.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Статья 3. </w:t>
      </w:r>
      <w:r w:rsidRPr="00252CC6">
        <w:rPr>
          <w:rFonts w:eastAsia="Times New Roman"/>
          <w:b/>
          <w:bCs/>
          <w:sz w:val="28"/>
          <w:szCs w:val="28"/>
          <w:lang w:eastAsia="ru-RU"/>
        </w:rPr>
        <w:t>Безвозмездные поступления, поступающие в местный бюджет.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Утвердить объем безвозмездных поступлений: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2022 год согласно приложению 3 к настоящему Решению;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2023 -2024 годы согласно приложению 4 к настоящему Решению.</w:t>
      </w:r>
    </w:p>
    <w:p w:rsidR="001B54C1" w:rsidRPr="00252CC6" w:rsidRDefault="001B54C1" w:rsidP="00E57F52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Статья 4. </w:t>
      </w:r>
      <w:r w:rsidRPr="00252CC6">
        <w:rPr>
          <w:rFonts w:eastAsia="Times New Roman"/>
          <w:b/>
          <w:bCs/>
          <w:sz w:val="28"/>
          <w:szCs w:val="28"/>
          <w:lang w:eastAsia="ru-RU"/>
        </w:rPr>
        <w:t>Бюджетные ассигнования местного бюджета на 2022 год и на плановый период 2023 и 2024 годов.</w:t>
      </w:r>
    </w:p>
    <w:p w:rsidR="001B54C1" w:rsidRPr="00252CC6" w:rsidRDefault="001B54C1" w:rsidP="00E57F52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Утвердить:</w:t>
      </w:r>
    </w:p>
    <w:p w:rsidR="001B54C1" w:rsidRPr="00252CC6" w:rsidRDefault="001B54C1" w:rsidP="00E57F52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1) в пределах общего объема расходов, установленного статьей 1 настоящего Решения, Распределение бюджетных ассигнований по целевым статьям, видам расходов, ведомствам, а также по разделам, подразделам классификации расходов бюджета: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2022 год согласно приложению 5 к настоящему Решению;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2023– 2024 годы согласно приложению 6 к настоящему Решению;</w:t>
      </w:r>
    </w:p>
    <w:p w:rsidR="001B54C1" w:rsidRPr="00252CC6" w:rsidRDefault="001B54C1" w:rsidP="00E57F52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2) ведомственную структуру расходов местного бюджета: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2022 год согласно приложению 7 к настоящему Решению;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2023 – 2024 годы согласно приложению 8 к настоящему Решению;</w:t>
      </w:r>
    </w:p>
    <w:p w:rsidR="001B54C1" w:rsidRPr="00252CC6" w:rsidRDefault="001B54C1" w:rsidP="00E57F52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3) общий объем публичных нормативных обязательств:</w:t>
      </w:r>
    </w:p>
    <w:p w:rsidR="001B54C1" w:rsidRPr="00252CC6" w:rsidRDefault="001B54C1" w:rsidP="00E57F52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2022 год в сумме 0,000 тыс. рублей;</w:t>
      </w:r>
    </w:p>
    <w:p w:rsidR="001B54C1" w:rsidRPr="00252CC6" w:rsidRDefault="001B54C1" w:rsidP="00E57F52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2023 год в сумме 0,000 тыс. рублей, на 2024 год в сумме 0,000 тыс. рублей.</w:t>
      </w:r>
    </w:p>
    <w:p w:rsidR="001B54C1" w:rsidRPr="00252CC6" w:rsidRDefault="001B54C1" w:rsidP="00E57F52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lastRenderedPageBreak/>
        <w:t xml:space="preserve">Статья 5. </w:t>
      </w:r>
      <w:r w:rsidRPr="00252CC6">
        <w:rPr>
          <w:rFonts w:eastAsia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бюджета.</w:t>
      </w:r>
    </w:p>
    <w:p w:rsidR="001B54C1" w:rsidRPr="00252CC6" w:rsidRDefault="001B54C1" w:rsidP="00E57F52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Утвердить источники финансирования дефицита местного бюджета: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2022 год согласно приложению 9 к настоящему Решению;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 2023 – 2024 годы согласно приложению 10 к настоящему Решению.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Статья 6.</w:t>
      </w:r>
      <w:r w:rsidRPr="00252CC6">
        <w:rPr>
          <w:rFonts w:eastAsia="Times New Roman"/>
          <w:b/>
          <w:bCs/>
          <w:sz w:val="28"/>
          <w:szCs w:val="28"/>
          <w:lang w:eastAsia="ru-RU"/>
        </w:rPr>
        <w:t xml:space="preserve"> Муниципальный долг.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Установить: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1) верхний предел муниципального долга муниципального образования на 1 января 2023 года в сумме 0,00 тыс. рублей, на 1 января 2024 года в сумме 0,00 тыс. рублей, на 1 января 2024 года в сумме 0,00 тыс. рублей.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2) предельный объем муниципального долга муниципального образования в течение 2022 года не должен превышать 0,00 тыс. рублей, в течение 2023 года не должен превышать 0,00 тыс. рублей, в течение 2024 года не должен превышать 0,00 тыс. рублей.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3) верхний предел долга по муниципальным гарантиям на 1 января 2023 года в сумме 0,000 тыс. рублей, на 1 января 2024 года в сумме 0,000 тыс. рублей, на 1 января 2025 года в сумме 0,000 тыс. рублей.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Статья 7. </w:t>
      </w:r>
      <w:r w:rsidRPr="00252CC6">
        <w:rPr>
          <w:rFonts w:eastAsia="Times New Roman"/>
          <w:b/>
          <w:bCs/>
          <w:sz w:val="28"/>
          <w:szCs w:val="28"/>
          <w:lang w:eastAsia="ru-RU"/>
        </w:rPr>
        <w:t>Межбюджетные трансферты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Утвердить: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1) Методику расчета иных межбюджетных трансфертов бюджету муниципального образования «Мухоршибирский район» согласно приложению 11 к настоящему Решению.</w:t>
      </w:r>
    </w:p>
    <w:p w:rsidR="001B54C1" w:rsidRPr="00252CC6" w:rsidRDefault="001B54C1" w:rsidP="00E57F52">
      <w:pPr>
        <w:spacing w:before="100" w:beforeAutospacing="1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2)              Распределение иных межбюджетных трансфертов бюджету муниципального образования «Мухоршибирский район» на 2022 год и на плановый период 2023-2024 годы согласно приложению 12 к настоящему Решению.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Статья 8</w:t>
      </w:r>
      <w:r w:rsidRPr="00252CC6">
        <w:rPr>
          <w:rFonts w:eastAsia="Times New Roman"/>
          <w:b/>
          <w:bCs/>
          <w:sz w:val="28"/>
          <w:szCs w:val="28"/>
          <w:lang w:eastAsia="ru-RU"/>
        </w:rPr>
        <w:t>. Особенности исполнения местного бюджета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1. Администрация муниципального образования сельское поселение «Новозаганское» вправе направлять в течение финансового года остатки средств местного бюджета, 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lastRenderedPageBreak/>
        <w:t>2. Не увеличивать в 2022 году численность работников местного самоуправления, содержание которых производится за счет средств местного бюджета, за исключением случаев наделения Республики Бурятия республиканским законодательством новыми полномочиями.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3. Установить в соответствии с пунктом 8 статьи 217 </w:t>
      </w:r>
      <w:hyperlink r:id="rId4" w:history="1">
        <w:r w:rsidRPr="00252CC6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252CC6">
        <w:rPr>
          <w:rFonts w:eastAsia="Times New Roman"/>
          <w:sz w:val="28"/>
          <w:szCs w:val="28"/>
          <w:lang w:eastAsia="ru-RU"/>
        </w:rPr>
        <w:t>,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 в пределах объема бюджетных ассигнований: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1)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252CC6">
        <w:rPr>
          <w:rFonts w:eastAsia="Times New Roman"/>
          <w:sz w:val="28"/>
          <w:szCs w:val="28"/>
          <w:lang w:eastAsia="ru-RU"/>
        </w:rPr>
        <w:t>софинансирования</w:t>
      </w:r>
      <w:proofErr w:type="spellEnd"/>
      <w:r w:rsidRPr="00252CC6">
        <w:rPr>
          <w:rFonts w:eastAsia="Times New Roman"/>
          <w:sz w:val="28"/>
          <w:szCs w:val="28"/>
          <w:lang w:eastAsia="ru-RU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ассигнований;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местного бюджета по кодам расходов классификации расходов бюджетов, в пределах бюджетных ассигнований, утвержденных по соответствующим целевым статьям классификации расходов местного бюджета.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Статья 9. </w:t>
      </w:r>
      <w:r w:rsidRPr="00252CC6">
        <w:rPr>
          <w:rFonts w:eastAsia="Times New Roman"/>
          <w:b/>
          <w:bCs/>
          <w:sz w:val="28"/>
          <w:szCs w:val="28"/>
          <w:lang w:eastAsia="ru-RU"/>
        </w:rPr>
        <w:t>Особенности внесения изменений и дополнений в Решение о бюджете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Нормативные и иные правовые акты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1B54C1" w:rsidRPr="00252CC6" w:rsidRDefault="001B54C1" w:rsidP="00E57F5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252CC6" w:rsidRDefault="00252CC6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52CC6" w:rsidRDefault="00252CC6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lastRenderedPageBreak/>
        <w:t>Статья 10.</w:t>
      </w:r>
      <w:r w:rsidRPr="00252CC6">
        <w:rPr>
          <w:rFonts w:eastAsia="Times New Roman"/>
          <w:b/>
          <w:bCs/>
          <w:sz w:val="28"/>
          <w:szCs w:val="28"/>
          <w:lang w:eastAsia="ru-RU"/>
        </w:rPr>
        <w:t xml:space="preserve"> Заключительные положения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Настоящее решение вступает в силу с 1 января 2022 года. 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 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 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Глава муниципального образования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сельское поселение «Новозаганское» </w:t>
      </w:r>
      <w:r w:rsidR="00E231F3" w:rsidRPr="00252CC6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  <w:r w:rsidRPr="00252CC6">
        <w:rPr>
          <w:rFonts w:eastAsia="Times New Roman"/>
          <w:sz w:val="28"/>
          <w:szCs w:val="28"/>
          <w:lang w:eastAsia="ru-RU"/>
        </w:rPr>
        <w:t>О.Н. Ланцова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Председатель Совета депутатов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муниципального образования</w:t>
      </w:r>
    </w:p>
    <w:p w:rsidR="001B54C1" w:rsidRPr="00252CC6" w:rsidRDefault="001B54C1" w:rsidP="00E57F5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 xml:space="preserve">сельское поселение «Новозаганское» </w:t>
      </w:r>
      <w:r w:rsidR="00E231F3" w:rsidRPr="00252CC6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52CC6">
        <w:rPr>
          <w:rFonts w:eastAsia="Times New Roman"/>
          <w:sz w:val="28"/>
          <w:szCs w:val="28"/>
          <w:lang w:eastAsia="ru-RU"/>
        </w:rPr>
        <w:t>Е.С. Леонова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lang w:eastAsia="ru-RU"/>
        </w:rPr>
        <w:br w:type="page"/>
      </w:r>
      <w:r w:rsidRPr="00252CC6">
        <w:rPr>
          <w:sz w:val="28"/>
          <w:szCs w:val="28"/>
          <w:lang w:eastAsia="ru-RU"/>
        </w:rPr>
        <w:lastRenderedPageBreak/>
        <w:t xml:space="preserve">Приложение 1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к Решению Совета депутатов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муниципального образования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«О местном бюджете на 2022 год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от __ декабря 2021 года № ___</w:t>
      </w:r>
    </w:p>
    <w:p w:rsidR="001B54C1" w:rsidRPr="00252CC6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 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 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Налоговые и неналоговые доходы местного бюджета на 2022 год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18"/>
          <w:szCs w:val="18"/>
          <w:lang w:eastAsia="ru-RU"/>
        </w:rPr>
        <w:t>(тыс. рублей)</w:t>
      </w:r>
    </w:p>
    <w:tbl>
      <w:tblPr>
        <w:tblW w:w="10207" w:type="dxa"/>
        <w:tblCellMar>
          <w:left w:w="0" w:type="dxa"/>
          <w:right w:w="0" w:type="dxa"/>
        </w:tblCellMar>
        <w:tblLook w:val="04A0"/>
      </w:tblPr>
      <w:tblGrid>
        <w:gridCol w:w="8223"/>
        <w:gridCol w:w="1984"/>
      </w:tblGrid>
      <w:tr w:rsidR="001B54C1" w:rsidRPr="00E231F3" w:rsidTr="001B54C1">
        <w:trPr>
          <w:trHeight w:val="42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54C1" w:rsidRPr="00E231F3" w:rsidTr="001B54C1">
        <w:trPr>
          <w:trHeight w:val="270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215,600</w:t>
            </w:r>
          </w:p>
        </w:tc>
      </w:tr>
      <w:tr w:rsidR="001B54C1" w:rsidRPr="00E231F3" w:rsidTr="001B54C1">
        <w:trPr>
          <w:trHeight w:val="1245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hyperlink r:id="rId5" w:history="1">
              <w:r w:rsidRPr="00E231F3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Налогового Кодекса Российской Федерации</w:t>
              </w:r>
            </w:hyperlink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215,600</w:t>
            </w:r>
          </w:p>
        </w:tc>
      </w:tr>
      <w:tr w:rsidR="001B54C1" w:rsidRPr="00E231F3" w:rsidTr="001B54C1">
        <w:trPr>
          <w:trHeight w:val="360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1B54C1" w:rsidRPr="00E231F3" w:rsidTr="001B54C1">
        <w:trPr>
          <w:trHeight w:val="274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1B54C1" w:rsidRPr="00E231F3" w:rsidTr="001B54C1">
        <w:trPr>
          <w:trHeight w:val="420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1 330,500</w:t>
            </w:r>
          </w:p>
        </w:tc>
      </w:tr>
      <w:tr w:rsidR="001B54C1" w:rsidRPr="00E231F3" w:rsidTr="001B54C1">
        <w:trPr>
          <w:trHeight w:val="266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1B54C1" w:rsidRPr="00E231F3" w:rsidTr="001B54C1">
        <w:trPr>
          <w:trHeight w:val="616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1B54C1" w:rsidRPr="00E231F3" w:rsidTr="001B54C1">
        <w:trPr>
          <w:trHeight w:val="1290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1 155,500</w:t>
            </w:r>
          </w:p>
        </w:tc>
      </w:tr>
      <w:tr w:rsidR="001B54C1" w:rsidRPr="00E231F3" w:rsidTr="001B54C1">
        <w:trPr>
          <w:trHeight w:val="699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105,000</w:t>
            </w:r>
          </w:p>
        </w:tc>
      </w:tr>
      <w:tr w:rsidR="001B54C1" w:rsidRPr="00E231F3" w:rsidTr="001B54C1">
        <w:trPr>
          <w:trHeight w:val="570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1B54C1" w:rsidRPr="00E231F3" w:rsidTr="001B54C1">
        <w:trPr>
          <w:trHeight w:val="600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75,000</w:t>
            </w:r>
          </w:p>
        </w:tc>
      </w:tr>
      <w:tr w:rsidR="001B54C1" w:rsidRPr="00E231F3" w:rsidTr="001B54C1">
        <w:trPr>
          <w:trHeight w:val="316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1B54C1" w:rsidRPr="00E231F3" w:rsidTr="001B54C1">
        <w:trPr>
          <w:trHeight w:val="660"/>
        </w:trPr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1B54C1" w:rsidRPr="00E231F3" w:rsidTr="001B54C1">
        <w:trPr>
          <w:trHeight w:val="456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1712,100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 </w:t>
      </w: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Приложение 2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к Решению Совета депутатов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муниципального образования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«О местном бюджете на 2022 год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от __ декабря 2021 года № ___</w:t>
      </w:r>
    </w:p>
    <w:p w:rsidR="001B54C1" w:rsidRPr="00252CC6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Налоговые и неналоговые доходы местного бюджета на 2023-2024 годы 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18"/>
          <w:szCs w:val="18"/>
          <w:lang w:eastAsia="ru-RU"/>
        </w:rPr>
        <w:t>(тыс. рублей)</w:t>
      </w:r>
    </w:p>
    <w:tbl>
      <w:tblPr>
        <w:tblW w:w="10207" w:type="dxa"/>
        <w:tblCellMar>
          <w:left w:w="0" w:type="dxa"/>
          <w:right w:w="0" w:type="dxa"/>
        </w:tblCellMar>
        <w:tblLook w:val="04A0"/>
      </w:tblPr>
      <w:tblGrid>
        <w:gridCol w:w="7372"/>
        <w:gridCol w:w="1417"/>
        <w:gridCol w:w="1418"/>
      </w:tblGrid>
      <w:tr w:rsidR="001B54C1" w:rsidRPr="00E231F3" w:rsidTr="001B54C1">
        <w:trPr>
          <w:trHeight w:val="190"/>
        </w:trPr>
        <w:tc>
          <w:tcPr>
            <w:tcW w:w="7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19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19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B54C1" w:rsidRPr="00E231F3" w:rsidTr="001B54C1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B54C1" w:rsidRPr="00E231F3" w:rsidTr="001B54C1">
        <w:trPr>
          <w:trHeight w:val="7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221,600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228,200</w:t>
            </w:r>
          </w:p>
        </w:tc>
      </w:tr>
      <w:tr w:rsidR="001B54C1" w:rsidRPr="00E231F3" w:rsidTr="001B54C1">
        <w:trPr>
          <w:trHeight w:val="1245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hyperlink r:id="rId6" w:history="1">
              <w:r w:rsidRPr="00E231F3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Налогового Кодекса Российской Федерации</w:t>
              </w:r>
            </w:hyperlink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221,600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228,200</w:t>
            </w:r>
          </w:p>
        </w:tc>
      </w:tr>
      <w:tr w:rsidR="001B54C1" w:rsidRPr="00E231F3" w:rsidTr="001B54C1">
        <w:trPr>
          <w:trHeight w:val="7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1B54C1" w:rsidRPr="00E231F3" w:rsidTr="001B54C1">
        <w:trPr>
          <w:trHeight w:val="7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1B54C1" w:rsidRPr="00E231F3" w:rsidTr="001B54C1">
        <w:trPr>
          <w:trHeight w:val="7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1 345,300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1B54C1" w:rsidRPr="00E231F3" w:rsidTr="001B54C1">
        <w:trPr>
          <w:trHeight w:val="63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77,000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79,000</w:t>
            </w:r>
          </w:p>
        </w:tc>
      </w:tr>
      <w:tr w:rsidR="001B54C1" w:rsidRPr="00E231F3" w:rsidTr="001B54C1">
        <w:trPr>
          <w:trHeight w:val="702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1B54C1" w:rsidRPr="00E231F3" w:rsidTr="001B54C1">
        <w:trPr>
          <w:trHeight w:val="306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1 168,300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1 177,000</w:t>
            </w:r>
          </w:p>
        </w:tc>
      </w:tr>
      <w:tr w:rsidR="001B54C1" w:rsidRPr="00E231F3" w:rsidTr="001B54C1">
        <w:trPr>
          <w:trHeight w:val="93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105,000</w:t>
            </w:r>
          </w:p>
        </w:tc>
      </w:tr>
      <w:tr w:rsidR="001B54C1" w:rsidRPr="00E231F3" w:rsidTr="001B54C1">
        <w:trPr>
          <w:trHeight w:val="57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1B54C1" w:rsidRPr="00E231F3" w:rsidTr="001B54C1">
        <w:trPr>
          <w:trHeight w:val="60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1B54C1" w:rsidRPr="00E231F3" w:rsidTr="001B54C1">
        <w:trPr>
          <w:trHeight w:val="7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1B54C1" w:rsidRPr="00E231F3" w:rsidTr="001B54C1">
        <w:trPr>
          <w:trHeight w:val="660"/>
        </w:trPr>
        <w:tc>
          <w:tcPr>
            <w:tcW w:w="7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1B54C1" w:rsidRPr="00E231F3" w:rsidTr="001B54C1">
        <w:trPr>
          <w:trHeight w:val="456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1 732,900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1 750,200</w:t>
            </w:r>
          </w:p>
        </w:tc>
      </w:tr>
    </w:tbl>
    <w:p w:rsidR="001B54C1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4"/>
          <w:szCs w:val="24"/>
          <w:lang w:eastAsia="ru-RU"/>
        </w:rPr>
        <w:t> </w:t>
      </w: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7F52" w:rsidRPr="00E231F3" w:rsidRDefault="00E57F52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Приложение 3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к Решению Совета депутатов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муниципального образования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«О местном бюджете на 2022 год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от __ декабря 2021 года № ___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Объем безвозмездных поступлений на 2022 год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18"/>
          <w:szCs w:val="18"/>
          <w:lang w:eastAsia="ru-RU"/>
        </w:rPr>
        <w:t>(тыс. рублей)</w:t>
      </w:r>
    </w:p>
    <w:tbl>
      <w:tblPr>
        <w:tblW w:w="10160" w:type="dxa"/>
        <w:tblCellMar>
          <w:left w:w="0" w:type="dxa"/>
          <w:right w:w="0" w:type="dxa"/>
        </w:tblCellMar>
        <w:tblLook w:val="04A0"/>
      </w:tblPr>
      <w:tblGrid>
        <w:gridCol w:w="8400"/>
        <w:gridCol w:w="1760"/>
      </w:tblGrid>
      <w:tr w:rsidR="001B54C1" w:rsidRPr="00E231F3" w:rsidTr="001B54C1">
        <w:trPr>
          <w:trHeight w:val="420"/>
        </w:trPr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54C1" w:rsidRPr="00E231F3" w:rsidTr="001B54C1">
        <w:trPr>
          <w:trHeight w:val="285"/>
        </w:trPr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1 812,544</w:t>
            </w:r>
          </w:p>
        </w:tc>
      </w:tr>
      <w:tr w:rsidR="001B54C1" w:rsidRPr="00E231F3" w:rsidTr="001B54C1">
        <w:trPr>
          <w:trHeight w:val="300"/>
        </w:trPr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Дотации на выравнивание бюджетной обеспеченности РБ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5,544</w:t>
            </w:r>
          </w:p>
        </w:tc>
      </w:tr>
      <w:tr w:rsidR="001B54C1" w:rsidRPr="00E231F3" w:rsidTr="001B54C1">
        <w:trPr>
          <w:trHeight w:val="300"/>
        </w:trPr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Дотации на выравнивание бюджетной обеспеченности МБ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1 807,000</w:t>
            </w:r>
          </w:p>
        </w:tc>
      </w:tr>
      <w:tr w:rsidR="001B54C1" w:rsidRPr="00E231F3" w:rsidTr="001B54C1">
        <w:trPr>
          <w:trHeight w:val="285"/>
        </w:trPr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343,300</w:t>
            </w:r>
          </w:p>
        </w:tc>
      </w:tr>
      <w:tr w:rsidR="001B54C1" w:rsidRPr="00E231F3" w:rsidTr="001B54C1">
        <w:trPr>
          <w:trHeight w:val="600"/>
        </w:trPr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343,300</w:t>
            </w:r>
          </w:p>
        </w:tc>
      </w:tr>
      <w:tr w:rsidR="001B54C1" w:rsidRPr="00E231F3" w:rsidTr="001B54C1">
        <w:trPr>
          <w:trHeight w:val="570"/>
        </w:trPr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5,200</w:t>
            </w:r>
          </w:p>
        </w:tc>
      </w:tr>
      <w:tr w:rsidR="001B54C1" w:rsidRPr="00E231F3" w:rsidTr="001B54C1">
        <w:trPr>
          <w:trHeight w:val="300"/>
        </w:trPr>
        <w:tc>
          <w:tcPr>
            <w:tcW w:w="8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Обеспечение первоочередных расходов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5,200</w:t>
            </w:r>
          </w:p>
        </w:tc>
      </w:tr>
      <w:tr w:rsidR="001B54C1" w:rsidRPr="00E231F3" w:rsidTr="001B54C1">
        <w:trPr>
          <w:trHeight w:val="300"/>
        </w:trPr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2 161,044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4"/>
          <w:szCs w:val="24"/>
          <w:lang w:eastAsia="ru-RU"/>
        </w:rPr>
        <w:t> </w:t>
      </w: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Приложение 4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к Решению Совета депутатов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муниципального образования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«О местном бюджете на 2022 год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от __ декабря 2021 года № ___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Объем безвозмездных поступлений на 2023 – 2024 годы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18"/>
          <w:szCs w:val="18"/>
          <w:lang w:eastAsia="ru-RU"/>
        </w:rPr>
        <w:t>(тыс. рублей)</w:t>
      </w:r>
    </w:p>
    <w:tbl>
      <w:tblPr>
        <w:tblW w:w="10207" w:type="dxa"/>
        <w:tblCellMar>
          <w:left w:w="0" w:type="dxa"/>
          <w:right w:w="0" w:type="dxa"/>
        </w:tblCellMar>
        <w:tblLook w:val="04A0"/>
      </w:tblPr>
      <w:tblGrid>
        <w:gridCol w:w="7230"/>
        <w:gridCol w:w="1560"/>
        <w:gridCol w:w="1417"/>
      </w:tblGrid>
      <w:tr w:rsidR="001B54C1" w:rsidRPr="00E231F3" w:rsidTr="001B54C1">
        <w:trPr>
          <w:trHeight w:val="420"/>
        </w:trPr>
        <w:tc>
          <w:tcPr>
            <w:tcW w:w="7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B54C1" w:rsidRPr="00E231F3" w:rsidTr="001B54C1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B54C1" w:rsidRPr="00E231F3" w:rsidTr="001B54C1">
        <w:trPr>
          <w:trHeight w:val="285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1 814,568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1 816,001</w:t>
            </w:r>
          </w:p>
        </w:tc>
      </w:tr>
      <w:tr w:rsidR="001B54C1" w:rsidRPr="00E231F3" w:rsidTr="001B54C1">
        <w:trPr>
          <w:trHeight w:val="30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Дотации на выравнивание бюджетной обеспеченности РБ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5,768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6,001</w:t>
            </w:r>
          </w:p>
        </w:tc>
      </w:tr>
      <w:tr w:rsidR="001B54C1" w:rsidRPr="00E231F3" w:rsidTr="001B54C1">
        <w:trPr>
          <w:trHeight w:val="30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Дотации на выравнивание бюджетной обеспеченности МБ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1 808,800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1 810,000</w:t>
            </w:r>
          </w:p>
        </w:tc>
      </w:tr>
      <w:tr w:rsidR="001B54C1" w:rsidRPr="00E231F3" w:rsidTr="001B54C1">
        <w:trPr>
          <w:trHeight w:val="285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353,300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366,600</w:t>
            </w:r>
          </w:p>
        </w:tc>
      </w:tr>
      <w:tr w:rsidR="001B54C1" w:rsidRPr="00E231F3" w:rsidTr="001B54C1">
        <w:trPr>
          <w:trHeight w:val="60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353,300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366,600</w:t>
            </w:r>
          </w:p>
        </w:tc>
      </w:tr>
      <w:tr w:rsidR="001B54C1" w:rsidRPr="00E231F3" w:rsidTr="001B54C1">
        <w:trPr>
          <w:trHeight w:val="57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B54C1" w:rsidRPr="00E231F3" w:rsidTr="001B54C1">
        <w:trPr>
          <w:trHeight w:val="30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Обеспечение первоочередных расходов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4C1" w:rsidRPr="00E231F3" w:rsidTr="001B54C1">
        <w:trPr>
          <w:trHeight w:val="30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2 167,868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2 182,601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4"/>
          <w:szCs w:val="24"/>
          <w:lang w:eastAsia="ru-RU"/>
        </w:rPr>
        <w:t> </w:t>
      </w: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Приложение 5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к Решению Совета депутатов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 xml:space="preserve">муниципального образования 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«О местном бюджете на 2022 год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252CC6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252CC6">
        <w:rPr>
          <w:sz w:val="28"/>
          <w:szCs w:val="28"/>
          <w:lang w:eastAsia="ru-RU"/>
        </w:rPr>
        <w:t>от __ декабря 2021 года № ___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52CC6">
        <w:rPr>
          <w:rFonts w:eastAsia="Times New Roman"/>
          <w:sz w:val="28"/>
          <w:szCs w:val="28"/>
          <w:lang w:eastAsia="ru-RU"/>
        </w:rPr>
        <w:t>Распределение бюджетных ассигнований по целевым статьям, видам</w:t>
      </w:r>
      <w:r w:rsidRPr="00E231F3">
        <w:rPr>
          <w:rFonts w:eastAsia="Times New Roman"/>
          <w:sz w:val="28"/>
          <w:szCs w:val="28"/>
          <w:lang w:eastAsia="ru-RU"/>
        </w:rPr>
        <w:t xml:space="preserve"> расходов, ведомствам, а также по разделам, подразделам классификации расходов бюджета на 2022 год</w:t>
      </w:r>
    </w:p>
    <w:tbl>
      <w:tblPr>
        <w:tblW w:w="10294" w:type="dxa"/>
        <w:tblCellMar>
          <w:left w:w="0" w:type="dxa"/>
          <w:right w:w="0" w:type="dxa"/>
        </w:tblCellMar>
        <w:tblLook w:val="04A0"/>
      </w:tblPr>
      <w:tblGrid>
        <w:gridCol w:w="4395"/>
        <w:gridCol w:w="1522"/>
        <w:gridCol w:w="850"/>
        <w:gridCol w:w="743"/>
        <w:gridCol w:w="618"/>
        <w:gridCol w:w="648"/>
        <w:gridCol w:w="1518"/>
      </w:tblGrid>
      <w:tr w:rsidR="001B54C1" w:rsidRPr="00E231F3" w:rsidTr="001B54C1">
        <w:trPr>
          <w:trHeight w:val="25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3200"/>
        <w:gridCol w:w="1480"/>
        <w:gridCol w:w="1018"/>
        <w:gridCol w:w="787"/>
        <w:gridCol w:w="900"/>
        <w:gridCol w:w="1302"/>
        <w:gridCol w:w="1236"/>
      </w:tblGrid>
      <w:tr w:rsidR="001B54C1" w:rsidRPr="00E231F3" w:rsidTr="001B54C1">
        <w:trPr>
          <w:trHeight w:val="6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3 873,14400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1 391,00000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9910091010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9910091040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343,30000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343,30000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Мобилизационная и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99300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80100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1 968,99500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1 968,99500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499,59500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499,59500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202,59500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202,59500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1B54C1" w:rsidRPr="00E231F3" w:rsidTr="001B54C1">
        <w:trPr>
          <w:trHeight w:val="65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65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1B54C1" w:rsidRPr="00E231F3" w:rsidTr="001B54C1">
        <w:trPr>
          <w:trHeight w:val="340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3 873,14400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4"/>
          <w:szCs w:val="24"/>
          <w:lang w:eastAsia="ru-RU"/>
        </w:rPr>
        <w:t> </w:t>
      </w: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Приложение 6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к Решению Совета депутатов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муниципального образования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«О местном бюджете на 2022 год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от __ декабря 2021 года № ___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57F52">
        <w:rPr>
          <w:rFonts w:eastAsia="Times New Roman"/>
          <w:sz w:val="28"/>
          <w:szCs w:val="28"/>
          <w:lang w:eastAsia="ru-RU"/>
        </w:rPr>
        <w:t>Распределение бюджетных ассигнований по целевым статьям, видам</w:t>
      </w:r>
      <w:r w:rsidRPr="00E231F3">
        <w:rPr>
          <w:rFonts w:eastAsia="Times New Roman"/>
          <w:sz w:val="28"/>
          <w:szCs w:val="28"/>
          <w:lang w:eastAsia="ru-RU"/>
        </w:rPr>
        <w:t xml:space="preserve"> расходов, ведомствам, а также по разделам, подразделам классификации расходов бюджета на 2023 – 2024 годы</w:t>
      </w:r>
    </w:p>
    <w:tbl>
      <w:tblPr>
        <w:tblW w:w="9910" w:type="dxa"/>
        <w:tblCellMar>
          <w:left w:w="0" w:type="dxa"/>
          <w:right w:w="0" w:type="dxa"/>
        </w:tblCellMar>
        <w:tblLook w:val="04A0"/>
      </w:tblPr>
      <w:tblGrid>
        <w:gridCol w:w="3134"/>
        <w:gridCol w:w="1545"/>
        <w:gridCol w:w="695"/>
        <w:gridCol w:w="636"/>
        <w:gridCol w:w="498"/>
        <w:gridCol w:w="567"/>
        <w:gridCol w:w="2835"/>
      </w:tblGrid>
      <w:tr w:rsidR="001B54C1" w:rsidRPr="00E231F3" w:rsidTr="001B54C1">
        <w:trPr>
          <w:trHeight w:val="255"/>
        </w:trPr>
        <w:tc>
          <w:tcPr>
            <w:tcW w:w="3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910" w:type="dxa"/>
        <w:tblCellMar>
          <w:left w:w="0" w:type="dxa"/>
          <w:right w:w="0" w:type="dxa"/>
        </w:tblCellMar>
        <w:tblLook w:val="04A0"/>
      </w:tblPr>
      <w:tblGrid>
        <w:gridCol w:w="2553"/>
        <w:gridCol w:w="1457"/>
        <w:gridCol w:w="1018"/>
        <w:gridCol w:w="787"/>
        <w:gridCol w:w="900"/>
        <w:gridCol w:w="1302"/>
        <w:gridCol w:w="1236"/>
        <w:gridCol w:w="1236"/>
      </w:tblGrid>
      <w:tr w:rsidR="001B54C1" w:rsidRPr="00E231F3" w:rsidTr="001B54C1">
        <w:trPr>
          <w:trHeight w:val="409"/>
        </w:trPr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B54C1" w:rsidRPr="00E231F3" w:rsidTr="001B54C1">
        <w:trPr>
          <w:trHeight w:val="2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6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6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3 812,08100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3 754,49000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1 391,00000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1 391,00000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сельское поселение "Новозаганское"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353,30000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366,60000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первичного воинского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353,30000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366,60000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53,30000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53,30000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53,30000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53,30000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1 897,93200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1 827,04100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1 897,93200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1 827,04100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428,53200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357,64100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428,53200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357,64100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131,53200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60,64100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131,53200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60,64100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 сельское поселение "Новозаганское" Республики Бурятия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88,68700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178,31100</w:t>
            </w:r>
          </w:p>
        </w:tc>
      </w:tr>
      <w:tr w:rsidR="001B54C1" w:rsidRPr="00E231F3" w:rsidTr="001B54C1">
        <w:trPr>
          <w:trHeight w:val="510"/>
        </w:trPr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3 900,76800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3 932,80100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 </w:t>
      </w: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Приложение 7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к Решению Совета депутатов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муниципального образования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«О местном бюджете на 2022 год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от __ декабря 2021 года № ___</w:t>
      </w:r>
    </w:p>
    <w:p w:rsidR="001B54C1" w:rsidRPr="00E57F52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57F52">
        <w:rPr>
          <w:rFonts w:eastAsia="Times New Roman"/>
          <w:sz w:val="28"/>
          <w:szCs w:val="28"/>
          <w:lang w:eastAsia="ru-RU"/>
        </w:rPr>
        <w:t>Ведомственная структура расходов местного бюджета на 2022 год</w:t>
      </w:r>
    </w:p>
    <w:tbl>
      <w:tblPr>
        <w:tblW w:w="10352" w:type="dxa"/>
        <w:tblCellMar>
          <w:left w:w="0" w:type="dxa"/>
          <w:right w:w="0" w:type="dxa"/>
        </w:tblCellMar>
        <w:tblLook w:val="04A0"/>
      </w:tblPr>
      <w:tblGrid>
        <w:gridCol w:w="4892"/>
        <w:gridCol w:w="637"/>
        <w:gridCol w:w="566"/>
        <w:gridCol w:w="567"/>
        <w:gridCol w:w="1561"/>
        <w:gridCol w:w="711"/>
        <w:gridCol w:w="1418"/>
      </w:tblGrid>
      <w:tr w:rsidR="001B54C1" w:rsidRPr="00E231F3" w:rsidTr="001B54C1">
        <w:trPr>
          <w:trHeight w:val="255"/>
        </w:trPr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209" w:type="dxa"/>
        <w:tblCellMar>
          <w:left w:w="0" w:type="dxa"/>
          <w:right w:w="0" w:type="dxa"/>
        </w:tblCellMar>
        <w:tblLook w:val="04A0"/>
      </w:tblPr>
      <w:tblGrid>
        <w:gridCol w:w="3485"/>
        <w:gridCol w:w="739"/>
        <w:gridCol w:w="900"/>
        <w:gridCol w:w="1302"/>
        <w:gridCol w:w="1457"/>
        <w:gridCol w:w="1018"/>
        <w:gridCol w:w="1308"/>
      </w:tblGrid>
      <w:tr w:rsidR="001B54C1" w:rsidRPr="00E231F3" w:rsidTr="001B54C1">
        <w:trPr>
          <w:trHeight w:val="924"/>
        </w:trPr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14"/>
                <w:szCs w:val="14"/>
                <w:lang w:eastAsia="ru-RU"/>
              </w:rPr>
              <w:t xml:space="preserve">Главный </w:t>
            </w:r>
            <w:proofErr w:type="spellStart"/>
            <w:r w:rsidRPr="00E231F3">
              <w:rPr>
                <w:rFonts w:eastAsia="Times New Roman"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E231F3">
              <w:rPr>
                <w:rFonts w:eastAsia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231F3">
              <w:rPr>
                <w:rFonts w:eastAsia="Times New Roman"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E231F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231F3">
              <w:rPr>
                <w:rFonts w:eastAsia="Times New Roman"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E231F3">
              <w:rPr>
                <w:rFonts w:eastAsia="Times New Roman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3 873,14400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3 160,24900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343,30000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343,30000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343,30000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343,30000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51180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343,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других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обязательств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202,59500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202,59500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202,59500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202,59500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202,59500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202,59500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280"/>
        </w:trPr>
        <w:tc>
          <w:tcPr>
            <w:tcW w:w="4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3 873,14400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4"/>
          <w:szCs w:val="24"/>
          <w:lang w:eastAsia="ru-RU"/>
        </w:rPr>
        <w:t> </w:t>
      </w: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Приложение 8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к Решению Совета депутатов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муниципального образования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«О местном бюджете на 2022 год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от __ декабря 2021 года № ___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 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Ведомственная структура расходов местного бюджета на 2023-2024 годы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18"/>
          <w:szCs w:val="18"/>
          <w:lang w:eastAsia="ru-RU"/>
        </w:rPr>
        <w:t>(тыс. руб.)</w:t>
      </w:r>
      <w:r w:rsidRPr="00E231F3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0909" w:type="dxa"/>
        <w:tblCellMar>
          <w:left w:w="0" w:type="dxa"/>
          <w:right w:w="0" w:type="dxa"/>
        </w:tblCellMar>
        <w:tblLook w:val="04A0"/>
      </w:tblPr>
      <w:tblGrid>
        <w:gridCol w:w="3325"/>
        <w:gridCol w:w="787"/>
        <w:gridCol w:w="631"/>
        <w:gridCol w:w="712"/>
        <w:gridCol w:w="1527"/>
        <w:gridCol w:w="1018"/>
        <w:gridCol w:w="1457"/>
        <w:gridCol w:w="1452"/>
      </w:tblGrid>
      <w:tr w:rsidR="001B54C1" w:rsidRPr="00E231F3" w:rsidTr="001B54C1">
        <w:trPr>
          <w:trHeight w:val="561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Под-раз-дел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0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B54C1" w:rsidRPr="00E231F3" w:rsidTr="001B54C1">
        <w:trPr>
          <w:trHeight w:val="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"Новозаганское" Республики Бурятия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3 812,08100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3 754,49000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3 160,24900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3 160,24900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611,00000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470,00000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141,00000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780,00000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180,00000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расходов на выполнение передаваемых полномочий сельских поселений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994000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49,849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1 719,40000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60,40000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37,00000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353,30000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366,60000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Мобилизационная и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353,30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366,60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353,30000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366,60000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353,30000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366,60000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353,30000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366,60000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240,70000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72,60000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53,30000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Прочие мероприятия,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999008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10,000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22,00000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131,53200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60,64100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131,53200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60,64100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131,53200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60,64100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131,53200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60,64100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131,53200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60,64100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131,53200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60,64100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9950080100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88,68700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178,31100</w:t>
            </w:r>
          </w:p>
        </w:tc>
      </w:tr>
      <w:tr w:rsidR="001B54C1" w:rsidRPr="00E231F3" w:rsidTr="001B54C1">
        <w:trPr>
          <w:trHeight w:val="70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900,76800</w:t>
            </w:r>
          </w:p>
        </w:tc>
        <w:tc>
          <w:tcPr>
            <w:tcW w:w="15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932,80100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Приложение 9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к Решению Совета депутатов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муниципального образования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«О местном бюджете на 2022 год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от __ декабря 2021 года № ___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Источники финансирования дефицита местного бюджета на 2022 год</w:t>
      </w:r>
      <w:r w:rsidRPr="00E231F3">
        <w:rPr>
          <w:rFonts w:eastAsia="Times New Roman"/>
          <w:sz w:val="18"/>
          <w:szCs w:val="18"/>
          <w:lang w:eastAsia="ru-RU"/>
        </w:rPr>
        <w:t> 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18"/>
          <w:szCs w:val="18"/>
          <w:lang w:eastAsia="ru-RU"/>
        </w:rPr>
        <w:t>(тыс. рублей)</w:t>
      </w:r>
    </w:p>
    <w:tbl>
      <w:tblPr>
        <w:tblW w:w="10580" w:type="dxa"/>
        <w:tblCellMar>
          <w:left w:w="0" w:type="dxa"/>
          <w:right w:w="0" w:type="dxa"/>
        </w:tblCellMar>
        <w:tblLook w:val="04A0"/>
      </w:tblPr>
      <w:tblGrid>
        <w:gridCol w:w="3240"/>
        <w:gridCol w:w="5680"/>
        <w:gridCol w:w="1660"/>
      </w:tblGrid>
      <w:tr w:rsidR="001B54C1" w:rsidRPr="00E231F3" w:rsidTr="001B54C1">
        <w:trPr>
          <w:trHeight w:val="4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54C1" w:rsidRPr="00E231F3" w:rsidTr="001B54C1">
        <w:trPr>
          <w:trHeight w:val="6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860 01 05 00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B54C1" w:rsidRPr="00E231F3" w:rsidTr="001B54C1">
        <w:trPr>
          <w:trHeight w:val="33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860 01 05 00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-3 873,144</w:t>
            </w:r>
          </w:p>
        </w:tc>
      </w:tr>
      <w:tr w:rsidR="001B54C1" w:rsidRPr="00E231F3" w:rsidTr="001B54C1">
        <w:trPr>
          <w:trHeight w:val="33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860 01 05 02 00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-3 873,144</w:t>
            </w:r>
          </w:p>
        </w:tc>
      </w:tr>
      <w:tr w:rsidR="001B54C1" w:rsidRPr="00E231F3" w:rsidTr="001B54C1">
        <w:trPr>
          <w:trHeight w:val="33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860 01 05 02 01 00 0000 500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-3 873,144</w:t>
            </w:r>
          </w:p>
        </w:tc>
      </w:tr>
      <w:tr w:rsidR="001B54C1" w:rsidRPr="00E231F3" w:rsidTr="001B54C1">
        <w:trPr>
          <w:trHeight w:val="61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860 01 05 02 01 10 0000 510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-3 873,144</w:t>
            </w:r>
          </w:p>
        </w:tc>
      </w:tr>
      <w:tr w:rsidR="001B54C1" w:rsidRPr="00E231F3" w:rsidTr="001B54C1">
        <w:trPr>
          <w:trHeight w:val="33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860 01 05 00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3 873,144</w:t>
            </w:r>
          </w:p>
        </w:tc>
      </w:tr>
      <w:tr w:rsidR="001B54C1" w:rsidRPr="00E231F3" w:rsidTr="001B54C1">
        <w:trPr>
          <w:trHeight w:val="33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860 01 05 02 00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3 873,144</w:t>
            </w:r>
          </w:p>
        </w:tc>
      </w:tr>
      <w:tr w:rsidR="001B54C1" w:rsidRPr="00E231F3" w:rsidTr="001B54C1">
        <w:trPr>
          <w:trHeight w:val="45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860 01 05 02 01 00 0000 600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3 873,144</w:t>
            </w:r>
          </w:p>
        </w:tc>
      </w:tr>
      <w:tr w:rsidR="001B54C1" w:rsidRPr="00E231F3" w:rsidTr="001B54C1">
        <w:trPr>
          <w:trHeight w:val="61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860 01 05 02 01 10 0000 610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3 873,144</w:t>
            </w:r>
          </w:p>
        </w:tc>
      </w:tr>
      <w:tr w:rsidR="001B54C1" w:rsidRPr="00E231F3" w:rsidTr="001B54C1">
        <w:trPr>
          <w:trHeight w:val="3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0,00000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Приложение 10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к Решению Совета депутатов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муниципального образования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«О местном бюджете на 2022 год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от __ декабря 2021 года № ___</w:t>
      </w:r>
      <w:r w:rsidRPr="00E57F52">
        <w:rPr>
          <w:rFonts w:eastAsia="Times New Roman"/>
          <w:sz w:val="28"/>
          <w:szCs w:val="28"/>
          <w:lang w:eastAsia="ru-RU"/>
        </w:rPr>
        <w:t> </w:t>
      </w:r>
    </w:p>
    <w:p w:rsidR="001B54C1" w:rsidRPr="00E57F52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57F52">
        <w:rPr>
          <w:rFonts w:eastAsia="Times New Roman"/>
          <w:sz w:val="28"/>
          <w:szCs w:val="28"/>
          <w:lang w:eastAsia="ru-RU"/>
        </w:rPr>
        <w:t>Источники финансирования дефицита местного бюджета на 2023-2024 годы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18"/>
          <w:szCs w:val="18"/>
          <w:lang w:eastAsia="ru-RU"/>
        </w:rPr>
        <w:t>(тыс. рублей)</w:t>
      </w:r>
    </w:p>
    <w:tbl>
      <w:tblPr>
        <w:tblW w:w="10916" w:type="dxa"/>
        <w:tblCellMar>
          <w:left w:w="0" w:type="dxa"/>
          <w:right w:w="0" w:type="dxa"/>
        </w:tblCellMar>
        <w:tblLook w:val="04A0"/>
      </w:tblPr>
      <w:tblGrid>
        <w:gridCol w:w="3240"/>
        <w:gridCol w:w="4557"/>
        <w:gridCol w:w="1559"/>
        <w:gridCol w:w="1560"/>
      </w:tblGrid>
      <w:tr w:rsidR="001B54C1" w:rsidRPr="00E231F3" w:rsidTr="001B54C1">
        <w:trPr>
          <w:trHeight w:val="315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B54C1" w:rsidRPr="00E231F3" w:rsidTr="001B54C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B54C1" w:rsidRPr="00E231F3" w:rsidTr="001B54C1">
        <w:trPr>
          <w:trHeight w:val="67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860 01 05 00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B54C1" w:rsidRPr="00E231F3" w:rsidTr="001B54C1">
        <w:trPr>
          <w:trHeight w:val="49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860 01 05 00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-3 900,768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-3 932,801</w:t>
            </w:r>
          </w:p>
        </w:tc>
      </w:tr>
      <w:tr w:rsidR="001B54C1" w:rsidRPr="00E231F3" w:rsidTr="001B54C1">
        <w:trPr>
          <w:trHeight w:val="49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860 01 05 02 00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-3 900,768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-3 932,801</w:t>
            </w:r>
          </w:p>
        </w:tc>
      </w:tr>
      <w:tr w:rsidR="001B54C1" w:rsidRPr="00E231F3" w:rsidTr="001B54C1">
        <w:trPr>
          <w:trHeight w:val="49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860 01 05 02 01 00 0000 500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-3 900,768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-3 932,801</w:t>
            </w:r>
          </w:p>
        </w:tc>
      </w:tr>
      <w:tr w:rsidR="001B54C1" w:rsidRPr="00E231F3" w:rsidTr="001B54C1">
        <w:trPr>
          <w:trHeight w:val="72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860 01 05 02 01 10 0000 510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-3 900,768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-3 932,801</w:t>
            </w:r>
          </w:p>
        </w:tc>
      </w:tr>
      <w:tr w:rsidR="001B54C1" w:rsidRPr="00E231F3" w:rsidTr="001B54C1">
        <w:trPr>
          <w:trHeight w:val="43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860 01 05 00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3 900,768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3 932,801</w:t>
            </w:r>
          </w:p>
        </w:tc>
      </w:tr>
      <w:tr w:rsidR="001B54C1" w:rsidRPr="00E231F3" w:rsidTr="001B54C1">
        <w:trPr>
          <w:trHeight w:val="43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860 01 05 02 00 </w:t>
            </w:r>
            <w:proofErr w:type="spellStart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E231F3">
              <w:rPr>
                <w:rFonts w:eastAsia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3 900,768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3 932,801</w:t>
            </w:r>
          </w:p>
        </w:tc>
      </w:tr>
      <w:tr w:rsidR="001B54C1" w:rsidRPr="00E231F3" w:rsidTr="001B54C1">
        <w:trPr>
          <w:trHeight w:val="435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860 01 05 02 01 00 0000 600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3 900,768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3 932,801</w:t>
            </w:r>
          </w:p>
        </w:tc>
      </w:tr>
      <w:tr w:rsidR="001B54C1" w:rsidRPr="00E231F3" w:rsidTr="001B54C1">
        <w:trPr>
          <w:trHeight w:val="600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860 01 05 02 01 10 0000 610</w:t>
            </w:r>
          </w:p>
        </w:tc>
        <w:tc>
          <w:tcPr>
            <w:tcW w:w="455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3 900,768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3 932,801</w:t>
            </w:r>
          </w:p>
        </w:tc>
      </w:tr>
      <w:tr w:rsidR="001B54C1" w:rsidRPr="00E231F3" w:rsidTr="001B54C1">
        <w:trPr>
          <w:trHeight w:val="300"/>
        </w:trPr>
        <w:tc>
          <w:tcPr>
            <w:tcW w:w="7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 </w:t>
      </w: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B54C1" w:rsidRPr="00E57F52" w:rsidRDefault="001B54C1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E57F52">
        <w:rPr>
          <w:rFonts w:eastAsia="Times New Roman"/>
          <w:sz w:val="28"/>
          <w:szCs w:val="28"/>
          <w:lang w:eastAsia="ru-RU"/>
        </w:rPr>
        <w:t>Приложение 11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к Решению Совета депутатов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муниципального образования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«О местном бюджете на 2022 год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от __ декабря 2021 года № ___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Методика расчета иных межбюджетных трансфертов бюджету муниципального образования «Мухоршибирский район»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1. Расчет иных межбюджетных трансфертов бюджету муниципального района на оплату осуществления полномочий КСО (далее иные межбюджетные трансферты).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2. Настоящая методика определяет условия распределения иных межбюджетных трансфертов на оплату осуществления по переданным полномочиям.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3. Размер иных межбюджетных трансфертов рассчитывается по следующей формуле: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E231F3">
        <w:rPr>
          <w:rFonts w:eastAsia="Times New Roman"/>
          <w:sz w:val="28"/>
          <w:szCs w:val="28"/>
          <w:lang w:eastAsia="ru-RU"/>
        </w:rPr>
        <w:t>Сi</w:t>
      </w:r>
      <w:proofErr w:type="spellEnd"/>
      <w:r w:rsidRPr="00E231F3">
        <w:rPr>
          <w:rFonts w:eastAsia="Times New Roman"/>
          <w:sz w:val="28"/>
          <w:szCs w:val="28"/>
          <w:lang w:eastAsia="ru-RU"/>
        </w:rPr>
        <w:t xml:space="preserve"> = C /Q*F где: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E231F3">
        <w:rPr>
          <w:rFonts w:eastAsia="Times New Roman"/>
          <w:sz w:val="28"/>
          <w:szCs w:val="28"/>
          <w:lang w:eastAsia="ru-RU"/>
        </w:rPr>
        <w:t>Сi</w:t>
      </w:r>
      <w:proofErr w:type="spellEnd"/>
      <w:r w:rsidRPr="00E231F3">
        <w:rPr>
          <w:rFonts w:eastAsia="Times New Roman"/>
          <w:sz w:val="28"/>
          <w:szCs w:val="28"/>
          <w:lang w:eastAsia="ru-RU"/>
        </w:rPr>
        <w:t xml:space="preserve"> – объём иных межбюджетных трансфертов бюджету муниципального района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 xml:space="preserve">С - общий объём иных межбюджетных трансфертов 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lastRenderedPageBreak/>
        <w:t>Q - общая численность населения, удовлетворяющая условию предоставления иных межбюджетных трансфертов по состоянию на 1 января текущего года.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 xml:space="preserve">F- численность населения СП «Новозаганское», удовлетворяющая условию предоставления иных межбюджетных трансфертов по состоянию на 1 января текущего года. 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4. Расходование иных межбюджетных трансфертов органами местного самоуправления осуществляется на оплату осуществления полномочий.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5. Ответственность за целевое и эффективное использование иных межбюджетных трансфертов несут органы местного самоуправления района.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 </w:t>
      </w: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7F52" w:rsidRPr="00E57F52" w:rsidRDefault="00E57F52" w:rsidP="00E231F3">
      <w:pPr>
        <w:spacing w:before="100" w:beforeAutospacing="1" w:after="100" w:afterAutospacing="1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Приложение 12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к Решению Совета депутатов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 xml:space="preserve">муниципального образования 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сельское поселение «Новозаганское»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«О местном бюджете на 2022 год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и на плановый период 2023 и 2024 годов»</w:t>
      </w:r>
    </w:p>
    <w:p w:rsidR="001B54C1" w:rsidRPr="00E57F52" w:rsidRDefault="001B54C1" w:rsidP="00E57F52">
      <w:pPr>
        <w:pStyle w:val="a6"/>
        <w:jc w:val="right"/>
        <w:rPr>
          <w:sz w:val="28"/>
          <w:szCs w:val="28"/>
          <w:lang w:eastAsia="ru-RU"/>
        </w:rPr>
      </w:pPr>
      <w:r w:rsidRPr="00E57F52">
        <w:rPr>
          <w:sz w:val="28"/>
          <w:szCs w:val="28"/>
          <w:lang w:eastAsia="ru-RU"/>
        </w:rPr>
        <w:t>от __ декабря 2021 года № ___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Распределение иных межбюджетных трансфертов бюджету муниципального образования «Мухоршибирский район» на 2022 год и на плановый период 2023-2024 годы.</w:t>
      </w:r>
    </w:p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18"/>
          <w:szCs w:val="18"/>
          <w:lang w:eastAsia="ru-RU"/>
        </w:rPr>
        <w:t>(тыс. рублей)</w:t>
      </w:r>
    </w:p>
    <w:tbl>
      <w:tblPr>
        <w:tblW w:w="10120" w:type="dxa"/>
        <w:tblCellMar>
          <w:left w:w="0" w:type="dxa"/>
          <w:right w:w="0" w:type="dxa"/>
        </w:tblCellMar>
        <w:tblLook w:val="04A0"/>
      </w:tblPr>
      <w:tblGrid>
        <w:gridCol w:w="5500"/>
        <w:gridCol w:w="1540"/>
        <w:gridCol w:w="1540"/>
        <w:gridCol w:w="1540"/>
      </w:tblGrid>
      <w:tr w:rsidR="001B54C1" w:rsidRPr="00E231F3" w:rsidTr="001B54C1">
        <w:trPr>
          <w:trHeight w:val="315"/>
        </w:trPr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54C1" w:rsidRPr="00E231F3" w:rsidTr="001B54C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4C1" w:rsidRPr="00E231F3" w:rsidRDefault="001B54C1" w:rsidP="00E231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B54C1" w:rsidRPr="00E231F3" w:rsidTr="001B54C1">
        <w:trPr>
          <w:trHeight w:val="570"/>
        </w:trPr>
        <w:tc>
          <w:tcPr>
            <w:tcW w:w="5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C1" w:rsidRPr="00E231F3" w:rsidRDefault="001B54C1" w:rsidP="00E231F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1F3">
              <w:rPr>
                <w:rFonts w:eastAsia="Times New Roman"/>
                <w:sz w:val="24"/>
                <w:szCs w:val="24"/>
                <w:lang w:eastAsia="ru-RU"/>
              </w:rPr>
              <w:t>49,849</w:t>
            </w:r>
          </w:p>
        </w:tc>
      </w:tr>
    </w:tbl>
    <w:p w:rsidR="001B54C1" w:rsidRPr="00E231F3" w:rsidRDefault="001B54C1" w:rsidP="00E231F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8"/>
          <w:szCs w:val="28"/>
          <w:lang w:eastAsia="ru-RU"/>
        </w:rPr>
        <w:t> </w:t>
      </w:r>
    </w:p>
    <w:p w:rsidR="001B54C1" w:rsidRPr="00E231F3" w:rsidRDefault="001B54C1" w:rsidP="00E231F3">
      <w:pPr>
        <w:spacing w:before="100" w:beforeAutospacing="1" w:after="100" w:afterAutospacing="1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  <w:r w:rsidRPr="00E231F3">
        <w:rPr>
          <w:rFonts w:eastAsia="Times New Roman"/>
          <w:sz w:val="24"/>
          <w:szCs w:val="24"/>
          <w:lang w:eastAsia="ru-RU"/>
        </w:rPr>
        <w:t> </w:t>
      </w:r>
    </w:p>
    <w:p w:rsidR="00E57F52" w:rsidRPr="00E231F3" w:rsidRDefault="00E57F52" w:rsidP="00E231F3">
      <w:pPr>
        <w:jc w:val="both"/>
      </w:pPr>
    </w:p>
    <w:sectPr w:rsidR="00E57F52" w:rsidRPr="00E231F3" w:rsidSect="004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4C1"/>
    <w:rsid w:val="00173A0F"/>
    <w:rsid w:val="001B54C1"/>
    <w:rsid w:val="00242EF4"/>
    <w:rsid w:val="00252CC6"/>
    <w:rsid w:val="00432C83"/>
    <w:rsid w:val="004B79D8"/>
    <w:rsid w:val="00756DB0"/>
    <w:rsid w:val="0088535A"/>
    <w:rsid w:val="00AE75B5"/>
    <w:rsid w:val="00E231F3"/>
    <w:rsid w:val="00E5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1B5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B5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B5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4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54C1"/>
    <w:rPr>
      <w:color w:val="800080"/>
      <w:u w:val="single"/>
    </w:rPr>
  </w:style>
  <w:style w:type="character" w:customStyle="1" w:styleId="hyperlink">
    <w:name w:val="hyperlink"/>
    <w:basedOn w:val="a0"/>
    <w:rsid w:val="001B54C1"/>
  </w:style>
  <w:style w:type="paragraph" w:customStyle="1" w:styleId="1">
    <w:name w:val="Нижний колонтитул1"/>
    <w:basedOn w:val="a"/>
    <w:rsid w:val="001B5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7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f7de1846-3c6a-47ab-b440-b8e4cea90c68.html" TargetMode="External"/><Relationship Id="rId5" Type="http://schemas.openxmlformats.org/officeDocument/2006/relationships/hyperlink" Target="http://nla-service.minjust.ru:8080/rnla-links/ws/content/act/f7de1846-3c6a-47ab-b440-b8e4cea90c68.html" TargetMode="External"/><Relationship Id="rId4" Type="http://schemas.openxmlformats.org/officeDocument/2006/relationships/hyperlink" Target="http://nla-service.minjust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7608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2022-05-23T06:24:00Z</dcterms:created>
  <dcterms:modified xsi:type="dcterms:W3CDTF">2022-05-25T07:52:00Z</dcterms:modified>
</cp:coreProperties>
</file>