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8E49D1">
        <w:rPr>
          <w:rFonts w:ascii="Times New Roman" w:hAnsi="Times New Roman"/>
          <w:color w:val="auto"/>
          <w:sz w:val="28"/>
          <w:szCs w:val="28"/>
        </w:rPr>
        <w:t>Бар</w:t>
      </w:r>
      <w:r w:rsidR="00C949C8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8E49D1">
        <w:rPr>
          <w:rFonts w:ascii="Times New Roman" w:hAnsi="Times New Roman"/>
          <w:color w:val="auto"/>
          <w:sz w:val="28"/>
          <w:szCs w:val="28"/>
        </w:rPr>
        <w:t>Бар</w:t>
      </w:r>
      <w:r w:rsidR="00C949C8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C949C8" w:rsidRPr="00050C54" w:rsidTr="009B7093">
        <w:trPr>
          <w:trHeight w:val="20"/>
        </w:trPr>
        <w:tc>
          <w:tcPr>
            <w:tcW w:w="491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(строитель-ство, реконструк-ция)</w:t>
            </w:r>
          </w:p>
        </w:tc>
      </w:tr>
      <w:tr w:rsidR="00C949C8" w:rsidRPr="00050C54" w:rsidTr="009B7093">
        <w:trPr>
          <w:trHeight w:val="20"/>
        </w:trPr>
        <w:tc>
          <w:tcPr>
            <w:tcW w:w="14976" w:type="dxa"/>
            <w:gridSpan w:val="8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086F87" w:rsidRPr="00DB7B10" w:rsidRDefault="00086F87" w:rsidP="00C565FE">
            <w:pPr>
              <w:pStyle w:val="a8"/>
              <w:ind w:firstLine="0"/>
            </w:pPr>
            <w:r w:rsidRPr="00C25C48">
              <w:t>Общественно-деловой подцентр</w:t>
            </w:r>
          </w:p>
        </w:tc>
        <w:tc>
          <w:tcPr>
            <w:tcW w:w="2126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086F87" w:rsidP="0067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с.Бар</w:t>
            </w:r>
          </w:p>
        </w:tc>
        <w:tc>
          <w:tcPr>
            <w:tcW w:w="2513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424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086F87" w:rsidRPr="00E140D5" w:rsidRDefault="00086F87" w:rsidP="00086F87">
            <w:pPr>
              <w:pStyle w:val="a8"/>
              <w:ind w:firstLine="0"/>
            </w:pPr>
            <w:r w:rsidRPr="00C25C48">
              <w:t>Центр катастроф, вертолетная площадка</w:t>
            </w:r>
          </w:p>
        </w:tc>
        <w:tc>
          <w:tcPr>
            <w:tcW w:w="2126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с.Бар</w:t>
            </w:r>
          </w:p>
        </w:tc>
        <w:tc>
          <w:tcPr>
            <w:tcW w:w="2513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086F87" w:rsidRPr="00ED581E" w:rsidRDefault="00086F87" w:rsidP="00086F87">
            <w:pPr>
              <w:pStyle w:val="a8"/>
              <w:ind w:firstLine="0"/>
            </w:pPr>
            <w:r w:rsidRPr="00C25C48">
              <w:t>Магазин</w:t>
            </w:r>
          </w:p>
        </w:tc>
        <w:tc>
          <w:tcPr>
            <w:tcW w:w="2126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с.Бар</w:t>
            </w:r>
          </w:p>
        </w:tc>
        <w:tc>
          <w:tcPr>
            <w:tcW w:w="2513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5" w:type="dxa"/>
          </w:tcPr>
          <w:p w:rsidR="00086F87" w:rsidRDefault="00086F87" w:rsidP="00086F87">
            <w:pPr>
              <w:pStyle w:val="aa"/>
              <w:spacing w:line="240" w:lineRule="auto"/>
              <w:ind w:firstLine="0"/>
              <w:jc w:val="left"/>
            </w:pPr>
            <w:r w:rsidRPr="00B53BDB">
              <w:t>Культурно-спортивный комплекс</w:t>
            </w:r>
          </w:p>
        </w:tc>
        <w:tc>
          <w:tcPr>
            <w:tcW w:w="2126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с.Бар</w:t>
            </w:r>
          </w:p>
        </w:tc>
        <w:tc>
          <w:tcPr>
            <w:tcW w:w="2513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424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086F87" w:rsidRPr="00050C54" w:rsidTr="00154ABB">
        <w:trPr>
          <w:trHeight w:val="271"/>
        </w:trPr>
        <w:tc>
          <w:tcPr>
            <w:tcW w:w="14976" w:type="dxa"/>
            <w:gridSpan w:val="8"/>
          </w:tcPr>
          <w:p w:rsidR="00086F87" w:rsidRPr="00086F87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F87">
              <w:rPr>
                <w:rFonts w:ascii="Times New Roman" w:hAnsi="Times New Roman"/>
                <w:b/>
                <w:sz w:val="24"/>
                <w:szCs w:val="24"/>
              </w:rPr>
              <w:t>Объекты транспортной инфраструктуры</w:t>
            </w:r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086F87" w:rsidRPr="00B53BDB" w:rsidRDefault="00086F87" w:rsidP="00086F87">
            <w:pPr>
              <w:pStyle w:val="aa"/>
              <w:spacing w:line="240" w:lineRule="auto"/>
              <w:ind w:firstLine="0"/>
              <w:jc w:val="left"/>
            </w:pPr>
            <w:r>
              <w:t>Объект придорожного сервиса</w:t>
            </w:r>
          </w:p>
        </w:tc>
        <w:tc>
          <w:tcPr>
            <w:tcW w:w="2126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с.Бар</w:t>
            </w:r>
          </w:p>
        </w:tc>
        <w:tc>
          <w:tcPr>
            <w:tcW w:w="2513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Санитарно-защитная зона от АЗС – 100 м</w:t>
            </w:r>
          </w:p>
        </w:tc>
        <w:tc>
          <w:tcPr>
            <w:tcW w:w="2425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C949C8" w:rsidRDefault="00C949C8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C949C8" w:rsidRPr="00050C54" w:rsidRDefault="00C949C8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1017A6">
        <w:rPr>
          <w:rFonts w:ascii="Times New Roman" w:hAnsi="Times New Roman"/>
          <w:sz w:val="24"/>
          <w:szCs w:val="24"/>
        </w:rPr>
        <w:t>Бар</w:t>
      </w:r>
      <w:r w:rsidR="00C949C8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C949C8" w:rsidRDefault="00C949C8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C949C8" w:rsidRPr="00730839" w:rsidTr="009B7093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C949C8" w:rsidRPr="00730839" w:rsidTr="009B7093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C8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Бар</w:t>
            </w: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58,02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65,18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6648F5" w:rsidRDefault="001017A6" w:rsidP="009B7093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95EBD" w:rsidRDefault="001017A6" w:rsidP="009B7093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2,31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3,44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DB7B10" w:rsidRDefault="001017A6" w:rsidP="001017A6">
            <w:pPr>
              <w:pStyle w:val="a8"/>
              <w:ind w:firstLine="0"/>
            </w:pPr>
            <w:r w:rsidRPr="00C25C48">
              <w:t>Общественно-деловой подцентр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F22803">
            <w:pPr>
              <w:pStyle w:val="a8"/>
              <w:ind w:firstLine="0"/>
              <w:jc w:val="center"/>
            </w:pPr>
            <w:r w:rsidRPr="001017A6">
              <w:t>0,14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E140D5" w:rsidRDefault="001017A6" w:rsidP="001017A6">
            <w:pPr>
              <w:pStyle w:val="a8"/>
              <w:ind w:firstLine="0"/>
            </w:pPr>
            <w:r w:rsidRPr="00C25C48">
              <w:t>Центр катастроф, вертолетная площадка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F22803">
            <w:pPr>
              <w:pStyle w:val="a8"/>
              <w:ind w:firstLine="0"/>
              <w:jc w:val="center"/>
            </w:pPr>
            <w:r w:rsidRPr="001017A6">
              <w:t>0,66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2.3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ED581E" w:rsidRDefault="001017A6" w:rsidP="001017A6">
            <w:pPr>
              <w:pStyle w:val="a8"/>
              <w:ind w:firstLine="0"/>
            </w:pPr>
            <w:r w:rsidRPr="00C25C48">
              <w:t>Магазин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F22803">
            <w:pPr>
              <w:pStyle w:val="a8"/>
              <w:ind w:firstLine="0"/>
              <w:jc w:val="center"/>
            </w:pPr>
            <w:r w:rsidRPr="001017A6">
              <w:t>0,33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34,85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32,46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4C561B">
            <w:pPr>
              <w:pStyle w:val="a8"/>
              <w:ind w:firstLine="0"/>
              <w:jc w:val="center"/>
            </w:pPr>
            <w:r w:rsidRPr="001017A6">
              <w:t>0,73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4C561B">
            <w:pPr>
              <w:pStyle w:val="a8"/>
              <w:ind w:firstLine="0"/>
              <w:jc w:val="center"/>
            </w:pPr>
            <w:r w:rsidRPr="001017A6">
              <w:t>2,31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C22061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4.1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1017A6">
            <w:pPr>
              <w:pStyle w:val="a8"/>
              <w:ind w:firstLine="0"/>
              <w:jc w:val="left"/>
            </w:pPr>
            <w:r w:rsidRPr="00B53BDB">
              <w:t>Культурно-спортивный комплекс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1D7F5F">
            <w:pPr>
              <w:pStyle w:val="a8"/>
              <w:ind w:firstLine="0"/>
              <w:jc w:val="center"/>
            </w:pPr>
            <w:r w:rsidRPr="001017A6">
              <w:t>1,58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812F88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3,32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812F88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0,04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0,05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812F88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>
              <w:t xml:space="preserve">Зона транспортной </w:t>
            </w:r>
            <w:r w:rsidRPr="00730839">
              <w:lastRenderedPageBreak/>
              <w:t>инфраструктуры</w:t>
            </w:r>
            <w:r>
              <w:t>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lastRenderedPageBreak/>
              <w:t>-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E26362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812F88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7.1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1017A6" w:rsidRDefault="001017A6" w:rsidP="001017A6">
            <w:pPr>
              <w:pStyle w:val="a8"/>
              <w:ind w:firstLine="0"/>
              <w:jc w:val="left"/>
            </w:pPr>
            <w:r>
              <w:t>Объект придорожного сервиса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F0206F">
            <w:pPr>
              <w:pStyle w:val="a8"/>
              <w:ind w:firstLine="0"/>
              <w:jc w:val="center"/>
            </w:pPr>
            <w:r w:rsidRPr="001017A6">
              <w:t>6,98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F0206F">
            <w:pPr>
              <w:pStyle w:val="a8"/>
              <w:ind w:firstLine="0"/>
              <w:jc w:val="center"/>
            </w:pPr>
            <w:r w:rsidRPr="001017A6">
              <w:t>8,47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>
              <w:t>Зона акваторий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46FE1">
            <w:pPr>
              <w:pStyle w:val="a8"/>
              <w:ind w:firstLine="0"/>
              <w:jc w:val="center"/>
            </w:pPr>
            <w:r w:rsidRPr="001017A6">
              <w:t>0,25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46FE1">
            <w:pPr>
              <w:pStyle w:val="a8"/>
              <w:ind w:firstLine="0"/>
              <w:jc w:val="center"/>
            </w:pPr>
            <w:r w:rsidRPr="001017A6">
              <w:t>0,25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7D214F" w:rsidRDefault="001017A6" w:rsidP="009B709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46FE1">
            <w:pPr>
              <w:pStyle w:val="a8"/>
              <w:ind w:firstLine="0"/>
              <w:jc w:val="center"/>
              <w:rPr>
                <w:b/>
              </w:rPr>
            </w:pPr>
            <w:r w:rsidRPr="001017A6">
              <w:rPr>
                <w:b/>
              </w:rPr>
              <w:t>106,5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46FE1">
            <w:pPr>
              <w:pStyle w:val="a8"/>
              <w:ind w:firstLine="0"/>
              <w:jc w:val="center"/>
              <w:rPr>
                <w:b/>
              </w:rPr>
            </w:pPr>
            <w:r w:rsidRPr="001017A6">
              <w:rPr>
                <w:b/>
              </w:rPr>
              <w:t>118,7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C949C8" w:rsidRDefault="00C949C8" w:rsidP="00C949C8">
      <w:pPr>
        <w:spacing w:after="0" w:line="240" w:lineRule="auto"/>
        <w:rPr>
          <w:sz w:val="24"/>
          <w:szCs w:val="24"/>
        </w:rPr>
      </w:pPr>
    </w:p>
    <w:sectPr w:rsidR="00C949C8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B68" w:rsidRDefault="00D93B68" w:rsidP="00C66A21">
      <w:pPr>
        <w:spacing w:after="0" w:line="240" w:lineRule="auto"/>
      </w:pPr>
      <w:r>
        <w:separator/>
      </w:r>
    </w:p>
  </w:endnote>
  <w:endnote w:type="continuationSeparator" w:id="1">
    <w:p w:rsidR="00D93B68" w:rsidRDefault="00D93B68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864A32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8E49D1">
      <w:rPr>
        <w:noProof/>
      </w:rPr>
      <w:t>4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B68" w:rsidRDefault="00D93B68" w:rsidP="00C66A21">
      <w:pPr>
        <w:spacing w:after="0" w:line="240" w:lineRule="auto"/>
      </w:pPr>
      <w:r>
        <w:separator/>
      </w:r>
    </w:p>
  </w:footnote>
  <w:footnote w:type="continuationSeparator" w:id="1">
    <w:p w:rsidR="00D93B68" w:rsidRDefault="00D93B68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86F87"/>
    <w:rsid w:val="0009200F"/>
    <w:rsid w:val="000A288A"/>
    <w:rsid w:val="000D05AB"/>
    <w:rsid w:val="000D2682"/>
    <w:rsid w:val="001017A6"/>
    <w:rsid w:val="00120C3F"/>
    <w:rsid w:val="00125A18"/>
    <w:rsid w:val="00154659"/>
    <w:rsid w:val="00160A5A"/>
    <w:rsid w:val="00165C0E"/>
    <w:rsid w:val="00174DA5"/>
    <w:rsid w:val="00180C51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23524"/>
    <w:rsid w:val="00227275"/>
    <w:rsid w:val="00233361"/>
    <w:rsid w:val="00240078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83D8E"/>
    <w:rsid w:val="00494CA7"/>
    <w:rsid w:val="00502AC1"/>
    <w:rsid w:val="00504373"/>
    <w:rsid w:val="005414C3"/>
    <w:rsid w:val="005567DB"/>
    <w:rsid w:val="005808C6"/>
    <w:rsid w:val="00583A72"/>
    <w:rsid w:val="005952A4"/>
    <w:rsid w:val="005A116E"/>
    <w:rsid w:val="005A4F5E"/>
    <w:rsid w:val="005B29E0"/>
    <w:rsid w:val="005C28D5"/>
    <w:rsid w:val="005D338C"/>
    <w:rsid w:val="005D7565"/>
    <w:rsid w:val="005E0235"/>
    <w:rsid w:val="005E2A26"/>
    <w:rsid w:val="005F13B2"/>
    <w:rsid w:val="00604F52"/>
    <w:rsid w:val="00626E5D"/>
    <w:rsid w:val="0063125A"/>
    <w:rsid w:val="00636B94"/>
    <w:rsid w:val="006443DF"/>
    <w:rsid w:val="0065410F"/>
    <w:rsid w:val="00667A2D"/>
    <w:rsid w:val="00670CF1"/>
    <w:rsid w:val="006718A2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342B"/>
    <w:rsid w:val="007A15B5"/>
    <w:rsid w:val="007A3D12"/>
    <w:rsid w:val="007A700B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08FA"/>
    <w:rsid w:val="008416A8"/>
    <w:rsid w:val="008519E1"/>
    <w:rsid w:val="00860510"/>
    <w:rsid w:val="008609A3"/>
    <w:rsid w:val="00861232"/>
    <w:rsid w:val="00864A32"/>
    <w:rsid w:val="0086659D"/>
    <w:rsid w:val="00866C2C"/>
    <w:rsid w:val="008943EC"/>
    <w:rsid w:val="008A5F7F"/>
    <w:rsid w:val="008B5C07"/>
    <w:rsid w:val="008B5E0A"/>
    <w:rsid w:val="008C0E4D"/>
    <w:rsid w:val="008C3D4A"/>
    <w:rsid w:val="008C7FF2"/>
    <w:rsid w:val="008E49D1"/>
    <w:rsid w:val="008E6226"/>
    <w:rsid w:val="00906C96"/>
    <w:rsid w:val="00912D77"/>
    <w:rsid w:val="009621AC"/>
    <w:rsid w:val="009666EF"/>
    <w:rsid w:val="0097285F"/>
    <w:rsid w:val="00974A2B"/>
    <w:rsid w:val="00991C53"/>
    <w:rsid w:val="009965C5"/>
    <w:rsid w:val="009B2100"/>
    <w:rsid w:val="009B773A"/>
    <w:rsid w:val="009C2BE0"/>
    <w:rsid w:val="009D20E1"/>
    <w:rsid w:val="009E4000"/>
    <w:rsid w:val="00A06678"/>
    <w:rsid w:val="00A12730"/>
    <w:rsid w:val="00A21DCE"/>
    <w:rsid w:val="00A252EF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49C8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3B68"/>
    <w:rsid w:val="00D968E6"/>
    <w:rsid w:val="00DB7276"/>
    <w:rsid w:val="00DC4EDE"/>
    <w:rsid w:val="00DC7E45"/>
    <w:rsid w:val="00DD1992"/>
    <w:rsid w:val="00DF2891"/>
    <w:rsid w:val="00DF3BA8"/>
    <w:rsid w:val="00E03E8C"/>
    <w:rsid w:val="00E116C8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5</cp:revision>
  <dcterms:created xsi:type="dcterms:W3CDTF">2019-10-28T02:56:00Z</dcterms:created>
  <dcterms:modified xsi:type="dcterms:W3CDTF">2019-11-06T02:02:00Z</dcterms:modified>
</cp:coreProperties>
</file>