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C949C8">
        <w:rPr>
          <w:rFonts w:ascii="Times New Roman" w:hAnsi="Times New Roman"/>
          <w:color w:val="auto"/>
          <w:sz w:val="28"/>
          <w:szCs w:val="28"/>
        </w:rPr>
        <w:t>Нарсатуйское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C949C8">
        <w:rPr>
          <w:rFonts w:ascii="Times New Roman" w:hAnsi="Times New Roman"/>
          <w:color w:val="auto"/>
          <w:sz w:val="28"/>
          <w:szCs w:val="28"/>
        </w:rPr>
        <w:t>Нарсатуйское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C949C8" w:rsidRPr="00050C54" w:rsidTr="009B7093">
        <w:trPr>
          <w:trHeight w:val="20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(строитель-ство, реконструк-ция)</w:t>
            </w:r>
          </w:p>
        </w:tc>
      </w:tr>
      <w:tr w:rsidR="00C949C8" w:rsidRPr="00050C54" w:rsidTr="009B7093">
        <w:trPr>
          <w:trHeight w:val="20"/>
        </w:trPr>
        <w:tc>
          <w:tcPr>
            <w:tcW w:w="14976" w:type="dxa"/>
            <w:gridSpan w:val="8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C949C8" w:rsidRPr="00050C54" w:rsidTr="009B7093">
        <w:trPr>
          <w:trHeight w:val="271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C949C8" w:rsidRPr="00BD04D6" w:rsidRDefault="006718A2" w:rsidP="00C949C8">
            <w:pPr>
              <w:pStyle w:val="aa"/>
              <w:spacing w:line="240" w:lineRule="auto"/>
              <w:ind w:firstLine="0"/>
              <w:jc w:val="left"/>
            </w:pPr>
            <w:r>
              <w:t>Школа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C949C8" w:rsidRPr="00017941" w:rsidRDefault="006718A2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C949C8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Нарсата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718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C949C8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949C8" w:rsidRPr="00050C54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C949C8">
        <w:rPr>
          <w:rFonts w:ascii="Times New Roman" w:hAnsi="Times New Roman"/>
          <w:sz w:val="24"/>
          <w:szCs w:val="24"/>
        </w:rPr>
        <w:t>Нарсатуйское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C949C8" w:rsidRDefault="00C949C8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C949C8" w:rsidRPr="00730839" w:rsidTr="009B7093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Нарсата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</w:t>
            </w:r>
            <w:r>
              <w:t>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25,88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6648F5" w:rsidRDefault="00C949C8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195EBD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2,23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Default="00C949C8" w:rsidP="009B7093">
            <w:pPr>
              <w:pStyle w:val="a8"/>
              <w:ind w:firstLine="0"/>
              <w:rPr>
                <w:b/>
              </w:rPr>
            </w:pPr>
            <w:r>
              <w:t>Школа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31216A" w:rsidRDefault="00C949C8" w:rsidP="009B7093">
            <w:pPr>
              <w:pStyle w:val="a8"/>
              <w:ind w:firstLine="34"/>
              <w:jc w:val="center"/>
            </w:pPr>
            <w:r>
              <w:t>0,44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Default="00C949C8" w:rsidP="009B7093">
            <w:pPr>
              <w:pStyle w:val="a8"/>
              <w:ind w:firstLine="0"/>
            </w:pPr>
            <w:r>
              <w:t>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34"/>
              <w:jc w:val="center"/>
            </w:pPr>
            <w:r>
              <w:t>0,1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68,70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>
              <w:t>Зона объектов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1,83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812F88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>
              <w:t>Зона транспорт</w:t>
            </w:r>
            <w:r>
              <w:t xml:space="preserve">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Default="00C949C8" w:rsidP="009B7093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7D214F" w:rsidRDefault="00C949C8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223524" w:rsidRDefault="00C949C8" w:rsidP="009B7093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104,26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Верхний Сутай</w:t>
            </w: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26,54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949C8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6648F5" w:rsidRDefault="00C949C8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C949C8" w:rsidRPr="00050C54" w:rsidRDefault="00C949C8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0,52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050C54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C949C8" w:rsidRPr="00050C54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C949C8" w:rsidRPr="00730839" w:rsidRDefault="00C949C8" w:rsidP="00C949C8">
            <w:pPr>
              <w:pStyle w:val="aa"/>
              <w:spacing w:line="240" w:lineRule="auto"/>
              <w:ind w:firstLine="0"/>
              <w:jc w:val="left"/>
              <w:rPr>
                <w:i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сельскохозяйственного 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40,38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Зона рекреационного назначения</w:t>
            </w:r>
          </w:p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3.1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6718A2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/>
                <w:sz w:val="24"/>
                <w:szCs w:val="24"/>
              </w:rPr>
              <w:t>С</w:t>
            </w:r>
            <w:r w:rsidR="00C949C8" w:rsidRPr="006718A2">
              <w:rPr>
                <w:rFonts w:ascii="Times New Roman Cyr" w:eastAsia="Calibri" w:hAnsi="Times New Roman Cyr"/>
                <w:sz w:val="24"/>
                <w:szCs w:val="24"/>
              </w:rPr>
              <w:t>портивная площадка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C949C8">
            <w:pPr>
              <w:spacing w:after="0" w:line="240" w:lineRule="auto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Зона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0,43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инженерной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hAnsi="Times New Roman Cyr"/>
              </w:rPr>
            </w:pPr>
            <w:r w:rsidRPr="006718A2">
              <w:rPr>
                <w:rFonts w:ascii="Times New Roman Cyr" w:eastAsia="Calibri" w:hAnsi="Times New Roman Cyr"/>
              </w:rPr>
              <w:t>0,02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6718A2" w:rsidRDefault="00C949C8" w:rsidP="009B7093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/>
              </w:rPr>
            </w:pPr>
            <w:r w:rsidRPr="006718A2">
              <w:rPr>
                <w:rFonts w:ascii="Times New Roman Cyr" w:hAnsi="Times New Roman Cyr"/>
              </w:rPr>
              <w:t>Зона 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223524" w:rsidRDefault="00C949C8" w:rsidP="009B7093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pStyle w:val="a8"/>
              <w:ind w:firstLine="0"/>
              <w:jc w:val="center"/>
              <w:rPr>
                <w:rFonts w:ascii="Times New Roman Cyr" w:eastAsia="Calibri" w:hAnsi="Times New Roman Cyr"/>
              </w:rPr>
            </w:pPr>
            <w:r w:rsidRPr="006718A2">
              <w:rPr>
                <w:rFonts w:ascii="Times New Roman Cyr" w:eastAsia="Calibri" w:hAnsi="Times New Roman Cyr"/>
              </w:rPr>
              <w:t>0,35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Default="00C949C8" w:rsidP="009B7093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sz w:val="24"/>
                <w:szCs w:val="24"/>
              </w:rPr>
              <w:t>5,46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7D214F" w:rsidRDefault="00C949C8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8" w:rsidRPr="00F73D3E" w:rsidRDefault="00C949C8" w:rsidP="009B709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6718A2" w:rsidRDefault="00C949C8" w:rsidP="009B7093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b/>
                <w:sz w:val="24"/>
                <w:szCs w:val="24"/>
              </w:rPr>
            </w:pPr>
            <w:r w:rsidRPr="006718A2">
              <w:rPr>
                <w:rFonts w:ascii="Times New Roman Cyr" w:eastAsia="Calibri" w:hAnsi="Times New Roman Cyr"/>
                <w:b/>
                <w:sz w:val="24"/>
                <w:szCs w:val="24"/>
              </w:rPr>
              <w:t>74,00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C949C8" w:rsidRDefault="00C949C8" w:rsidP="00C949C8">
      <w:pPr>
        <w:spacing w:after="0" w:line="240" w:lineRule="auto"/>
        <w:rPr>
          <w:sz w:val="24"/>
          <w:szCs w:val="24"/>
        </w:rPr>
      </w:pPr>
    </w:p>
    <w:sectPr w:rsidR="00C949C8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275" w:rsidRDefault="00227275" w:rsidP="00C66A21">
      <w:pPr>
        <w:spacing w:after="0" w:line="240" w:lineRule="auto"/>
      </w:pPr>
      <w:r>
        <w:separator/>
      </w:r>
    </w:p>
  </w:endnote>
  <w:endnote w:type="continuationSeparator" w:id="1">
    <w:p w:rsidR="00227275" w:rsidRDefault="00227275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7A700B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6718A2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275" w:rsidRDefault="00227275" w:rsidP="00C66A21">
      <w:pPr>
        <w:spacing w:after="0" w:line="240" w:lineRule="auto"/>
      </w:pPr>
      <w:r>
        <w:separator/>
      </w:r>
    </w:p>
  </w:footnote>
  <w:footnote w:type="continuationSeparator" w:id="1">
    <w:p w:rsidR="00227275" w:rsidRDefault="00227275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27275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83D8E"/>
    <w:rsid w:val="00494CA7"/>
    <w:rsid w:val="00502AC1"/>
    <w:rsid w:val="00504373"/>
    <w:rsid w:val="005414C3"/>
    <w:rsid w:val="005567DB"/>
    <w:rsid w:val="005808C6"/>
    <w:rsid w:val="00583A72"/>
    <w:rsid w:val="005952A4"/>
    <w:rsid w:val="005A116E"/>
    <w:rsid w:val="005A4F5E"/>
    <w:rsid w:val="005B29E0"/>
    <w:rsid w:val="005C28D5"/>
    <w:rsid w:val="005D338C"/>
    <w:rsid w:val="005D7565"/>
    <w:rsid w:val="005E0235"/>
    <w:rsid w:val="005E2A26"/>
    <w:rsid w:val="005F13B2"/>
    <w:rsid w:val="00626E5D"/>
    <w:rsid w:val="0063125A"/>
    <w:rsid w:val="00636B94"/>
    <w:rsid w:val="006443DF"/>
    <w:rsid w:val="0065410F"/>
    <w:rsid w:val="00667A2D"/>
    <w:rsid w:val="00670CF1"/>
    <w:rsid w:val="006718A2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A700B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08FA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49C8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2019-10-16T07:32:00Z</dcterms:created>
  <dcterms:modified xsi:type="dcterms:W3CDTF">2019-10-16T07:47:00Z</dcterms:modified>
</cp:coreProperties>
</file>