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07" w:rsidRPr="00C70407" w:rsidRDefault="00C70407" w:rsidP="00C70407">
      <w:pPr>
        <w:pStyle w:val="2"/>
        <w:jc w:val="center"/>
        <w:rPr>
          <w:rFonts w:eastAsia="Arial"/>
        </w:rPr>
      </w:pPr>
      <w:r>
        <w:rPr>
          <w:rFonts w:eastAsia="Arial"/>
        </w:rPr>
        <w:t xml:space="preserve">Срочный и досрочный перевод средств пенсионный накоплений в НПФ или </w:t>
      </w:r>
      <w:r w:rsidRPr="009018BB">
        <w:rPr>
          <w:rFonts w:eastAsia="Arial"/>
        </w:rPr>
        <w:t>ПФР</w:t>
      </w:r>
    </w:p>
    <w:p w:rsidR="00C70407" w:rsidRPr="00C70407" w:rsidRDefault="00C70407" w:rsidP="00C70407">
      <w:pPr>
        <w:pStyle w:val="1"/>
        <w:spacing w:line="240" w:lineRule="auto"/>
        <w:rPr>
          <w:rFonts w:ascii="Times New Roman" w:hAnsi="Times New Roman" w:cs="Times New Roman"/>
          <w:i w:val="0"/>
        </w:rPr>
      </w:pPr>
      <w:bookmarkStart w:id="0" w:name="_Toc424288884"/>
      <w:r w:rsidRPr="00C70407">
        <w:rPr>
          <w:rFonts w:ascii="Times New Roman" w:hAnsi="Times New Roman" w:cs="Times New Roman"/>
          <w:i w:val="0"/>
        </w:rPr>
        <w:t>С 1 января 2015 года гражданин может воспользоваться двумя способами реализации права на смену страховщика и переход к новому страховщику. Это так называемые «срочные» и «досрочные» переходы.</w:t>
      </w:r>
      <w:bookmarkEnd w:id="0"/>
    </w:p>
    <w:p w:rsidR="00C70407" w:rsidRDefault="00C70407" w:rsidP="00C70407">
      <w:pPr>
        <w:pStyle w:val="a5"/>
      </w:pPr>
      <w:r>
        <w:t xml:space="preserve">            При подаче «срочного» заявления о переходе в фонд или в </w:t>
      </w:r>
      <w:r w:rsidRPr="009018BB">
        <w:rPr>
          <w:b/>
          <w:bCs/>
        </w:rPr>
        <w:t>ПФР</w:t>
      </w:r>
      <w:r>
        <w:t xml:space="preserve">, перевод </w:t>
      </w:r>
      <w:r>
        <w:rPr>
          <w:b/>
          <w:bCs/>
        </w:rPr>
        <w:t>накопительной пенсии</w:t>
      </w:r>
      <w:r>
        <w:t xml:space="preserve"> осуществляется в году, следующем за годом, в котором истекает пятилетний срок с года подачи такого заявления. Это означает, если вы подали заявление в 2015 году, то перевод ваших накопительных средств и инвестиционных доходов окончательно завершится в 2020 году.</w:t>
      </w:r>
    </w:p>
    <w:p w:rsidR="00C70407" w:rsidRDefault="00C70407" w:rsidP="00C70407">
      <w:pPr>
        <w:pStyle w:val="a5"/>
      </w:pPr>
      <w:r>
        <w:t xml:space="preserve">            При подаче заявления о «досрочном» переходе в фонд или в </w:t>
      </w:r>
      <w:r w:rsidRPr="009018BB">
        <w:rPr>
          <w:b/>
          <w:bCs/>
        </w:rPr>
        <w:t>ПФР</w:t>
      </w:r>
      <w:r>
        <w:t xml:space="preserve">, переход </w:t>
      </w:r>
      <w:r>
        <w:rPr>
          <w:b/>
          <w:bCs/>
        </w:rPr>
        <w:t>накопительной пенсии</w:t>
      </w:r>
      <w:r>
        <w:t xml:space="preserve"> осуществляется в году, следующем за годом подачи такого заявления. Это означает, что если заявление было подано в 2015 году, то перевод ваших накопительных средств завершится в 2016 году, но без инвестиционных доходов.</w:t>
      </w:r>
    </w:p>
    <w:p w:rsidR="00C70407" w:rsidRDefault="00C70407" w:rsidP="00C70407">
      <w:pPr>
        <w:pStyle w:val="a5"/>
      </w:pPr>
      <w:r>
        <w:t xml:space="preserve">            Рассмотрим ситуацию, когда страховщик, у которого гражданин формирует </w:t>
      </w:r>
      <w:r>
        <w:rPr>
          <w:b/>
          <w:bCs/>
        </w:rPr>
        <w:t>пенсионные накопления</w:t>
      </w:r>
      <w:r>
        <w:t>, работает с инвестиционным доходом.</w:t>
      </w:r>
    </w:p>
    <w:p w:rsidR="00C70407" w:rsidRDefault="00C70407" w:rsidP="00C70407">
      <w:pPr>
        <w:pStyle w:val="a5"/>
      </w:pPr>
      <w:r>
        <w:t xml:space="preserve">            В случае получения страховщиком инвестиционного дохода, при «срочном» переходе гражданину гарантируется сохранность средств </w:t>
      </w:r>
      <w:r>
        <w:rPr>
          <w:b/>
          <w:bCs/>
        </w:rPr>
        <w:t>пенсионных накоплений</w:t>
      </w:r>
      <w:r>
        <w:t xml:space="preserve"> и инвестиционный доход, который он получит на </w:t>
      </w:r>
      <w:r>
        <w:rPr>
          <w:b/>
          <w:bCs/>
        </w:rPr>
        <w:t>накопительную пенсию</w:t>
      </w:r>
      <w:r>
        <w:t xml:space="preserve"> по истечении пятилетнего срока. При «досрочном» переходе гражданин не получит инвестиционный доход за всю «досрочно» прерванную пятилетку.</w:t>
      </w:r>
    </w:p>
    <w:p w:rsidR="00C70407" w:rsidRDefault="00C70407" w:rsidP="00C70407">
      <w:pPr>
        <w:pStyle w:val="a5"/>
      </w:pPr>
      <w:r>
        <w:t xml:space="preserve">          Теперь, когда страховщик сработал «в минус» - получил отрицательный инвестиционный доход.</w:t>
      </w:r>
    </w:p>
    <w:p w:rsidR="00C70407" w:rsidRDefault="00C70407" w:rsidP="00C70407">
      <w:pPr>
        <w:pStyle w:val="a5"/>
      </w:pPr>
      <w:r>
        <w:t xml:space="preserve">          В этом случае страховщик, у которого гражданин формирует </w:t>
      </w:r>
      <w:r>
        <w:rPr>
          <w:b/>
          <w:bCs/>
        </w:rPr>
        <w:t>пенсионные накопления</w:t>
      </w:r>
      <w:r>
        <w:t xml:space="preserve">, покажет отрицательный инвестиционный доход, то гражданин при «срочном» переходе получит по системе гарантирования восполнение своих </w:t>
      </w:r>
      <w:r>
        <w:rPr>
          <w:b/>
          <w:bCs/>
        </w:rPr>
        <w:t>пенсионных накоплений</w:t>
      </w:r>
      <w:r>
        <w:t xml:space="preserve"> до уровня гарантированного размера на 31 декабря года истечения предыдущего пятилетнего цикла. При «досрочном» переходе гражданин не получит такого восполнения, то есть он может потерять часть ранее сформированных </w:t>
      </w:r>
      <w:r>
        <w:rPr>
          <w:b/>
          <w:bCs/>
        </w:rPr>
        <w:t>пенсионных накоплений</w:t>
      </w:r>
      <w:r>
        <w:t>, зафиксированных на 31 декабря года истечения предыдущего пятилетнего цикла.</w:t>
      </w:r>
    </w:p>
    <w:p w:rsidR="00C70407" w:rsidRDefault="00C70407" w:rsidP="00C70407">
      <w:pPr>
        <w:pStyle w:val="a5"/>
      </w:pPr>
      <w:r>
        <w:t xml:space="preserve">          Важно обратить внимание на то, что для граждан, формировавших свои </w:t>
      </w:r>
      <w:r>
        <w:rPr>
          <w:b/>
          <w:bCs/>
        </w:rPr>
        <w:t>пенсионные накопления</w:t>
      </w:r>
      <w:r>
        <w:t xml:space="preserve"> в </w:t>
      </w:r>
      <w:r>
        <w:rPr>
          <w:b/>
          <w:bCs/>
        </w:rPr>
        <w:t>НПФ</w:t>
      </w:r>
      <w:r>
        <w:t xml:space="preserve"> или УК, у которых нулевые или отрицательные результаты инвестирования, гарантируется номинал страховых взносов, уплаченных за него.</w:t>
      </w:r>
    </w:p>
    <w:p w:rsidR="00C70407" w:rsidRDefault="00C70407" w:rsidP="00C70407">
      <w:pPr>
        <w:pStyle w:val="a5"/>
      </w:pPr>
      <w:r>
        <w:t xml:space="preserve">          Таким образом, система гарантирования защищает пенсионные права всех граждан, но в большей мере стимулирует граждан, которые стабильны в своем выборе страховщика и сменяет его не чаще, чем один раз в пять лет.</w:t>
      </w:r>
    </w:p>
    <w:p w:rsidR="00607F0F" w:rsidRDefault="00607F0F"/>
    <w:p w:rsidR="003D7C72" w:rsidRDefault="003D7C72"/>
    <w:sectPr w:rsidR="003D7C72" w:rsidSect="0060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C72"/>
    <w:rsid w:val="003D7C72"/>
    <w:rsid w:val="00607F0F"/>
    <w:rsid w:val="00C7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0F"/>
  </w:style>
  <w:style w:type="paragraph" w:styleId="2">
    <w:name w:val="heading 2"/>
    <w:aliases w:val="Заголовок Новости"/>
    <w:next w:val="a"/>
    <w:link w:val="20"/>
    <w:qFormat/>
    <w:rsid w:val="00C70407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C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Новости Знак1"/>
    <w:basedOn w:val="a0"/>
    <w:link w:val="2"/>
    <w:rsid w:val="00C7040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Б1"/>
    <w:basedOn w:val="3"/>
    <w:link w:val="10"/>
    <w:qFormat/>
    <w:rsid w:val="00C70407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</w:rPr>
  </w:style>
  <w:style w:type="character" w:customStyle="1" w:styleId="10">
    <w:name w:val="Б1 Знак"/>
    <w:link w:val="1"/>
    <w:rsid w:val="00C70407"/>
    <w:rPr>
      <w:rFonts w:ascii="Arial" w:eastAsia="Times New Roman" w:hAnsi="Arial" w:cs="Arial"/>
      <w:bCs/>
      <w:i/>
      <w:sz w:val="24"/>
      <w:szCs w:val="26"/>
    </w:rPr>
  </w:style>
  <w:style w:type="paragraph" w:customStyle="1" w:styleId="a5">
    <w:name w:val="Текст новости"/>
    <w:link w:val="a6"/>
    <w:qFormat/>
    <w:rsid w:val="00C7040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новости Знак"/>
    <w:link w:val="a5"/>
    <w:rsid w:val="00C70407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04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140818</dc:creator>
  <cp:keywords/>
  <dc:description/>
  <cp:lastModifiedBy>140818</cp:lastModifiedBy>
  <cp:revision>2</cp:revision>
  <dcterms:created xsi:type="dcterms:W3CDTF">2015-07-13T05:28:00Z</dcterms:created>
  <dcterms:modified xsi:type="dcterms:W3CDTF">2015-07-13T05:28:00Z</dcterms:modified>
</cp:coreProperties>
</file>