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452FDA" w:rsidP="00A0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«ХОШУН-УЗУРСКОЕ»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452FDA">
        <w:rPr>
          <w:b/>
          <w:sz w:val="28"/>
          <w:szCs w:val="28"/>
        </w:rPr>
        <w:t>09</w:t>
      </w:r>
      <w:r w:rsidR="00A02415" w:rsidRPr="00E20C89">
        <w:rPr>
          <w:b/>
          <w:sz w:val="28"/>
          <w:szCs w:val="28"/>
        </w:rPr>
        <w:t xml:space="preserve">» </w:t>
      </w:r>
      <w:r w:rsidR="00452FDA">
        <w:rPr>
          <w:b/>
          <w:sz w:val="28"/>
          <w:szCs w:val="28"/>
        </w:rPr>
        <w:t>ноя</w:t>
      </w:r>
      <w:r w:rsidR="00A02415" w:rsidRPr="00E20C89">
        <w:rPr>
          <w:b/>
          <w:sz w:val="28"/>
          <w:szCs w:val="28"/>
        </w:rPr>
        <w:t>бря 201</w:t>
      </w:r>
      <w:r w:rsidR="00CB213F">
        <w:rPr>
          <w:b/>
          <w:sz w:val="28"/>
          <w:szCs w:val="28"/>
        </w:rPr>
        <w:t>6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452FDA" w:rsidP="00E20C89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ошун-Узур</w:t>
      </w:r>
      <w:proofErr w:type="spellEnd"/>
      <w:r w:rsidR="00E20C89">
        <w:rPr>
          <w:b/>
          <w:sz w:val="28"/>
          <w:szCs w:val="28"/>
        </w:rPr>
        <w:t xml:space="preserve">                                          №</w:t>
      </w:r>
      <w:r>
        <w:rPr>
          <w:b/>
          <w:sz w:val="28"/>
          <w:szCs w:val="28"/>
        </w:rPr>
        <w:t>26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</w:p>
    <w:p w:rsidR="00452FDA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политики </w:t>
      </w:r>
      <w:r w:rsidR="00452FDA">
        <w:rPr>
          <w:b/>
          <w:bCs/>
          <w:sz w:val="28"/>
        </w:rPr>
        <w:t xml:space="preserve">МО СП </w:t>
      </w:r>
      <w:r w:rsidR="00E20C89">
        <w:rPr>
          <w:b/>
          <w:bCs/>
          <w:sz w:val="28"/>
        </w:rPr>
        <w:t>«</w:t>
      </w:r>
      <w:proofErr w:type="spellStart"/>
      <w:r w:rsidR="00452FDA">
        <w:rPr>
          <w:b/>
          <w:bCs/>
          <w:sz w:val="28"/>
        </w:rPr>
        <w:t>Хошун-Узурское</w:t>
      </w:r>
      <w:proofErr w:type="spellEnd"/>
      <w:r w:rsidR="00E20C89">
        <w:rPr>
          <w:b/>
          <w:bCs/>
          <w:sz w:val="28"/>
        </w:rPr>
        <w:t>»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 на 201</w:t>
      </w:r>
      <w:r w:rsidR="00CB213F">
        <w:rPr>
          <w:b/>
          <w:bCs/>
          <w:sz w:val="28"/>
        </w:rPr>
        <w:t>7</w:t>
      </w:r>
      <w:r w:rsidRPr="00E20C89">
        <w:rPr>
          <w:b/>
          <w:bCs/>
          <w:sz w:val="28"/>
        </w:rPr>
        <w:t xml:space="preserve"> - 201</w:t>
      </w:r>
      <w:r w:rsidR="00CB213F">
        <w:rPr>
          <w:b/>
          <w:bCs/>
          <w:sz w:val="28"/>
        </w:rPr>
        <w:t>9</w:t>
      </w:r>
      <w:r w:rsidRPr="00E20C89">
        <w:rPr>
          <w:b/>
          <w:bCs/>
          <w:sz w:val="28"/>
        </w:rPr>
        <w:t xml:space="preserve"> годы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бюджетной политики </w:t>
      </w:r>
      <w:r w:rsidR="00E20C89">
        <w:rPr>
          <w:bCs/>
          <w:sz w:val="28"/>
        </w:rPr>
        <w:t xml:space="preserve">муниципального образования </w:t>
      </w:r>
      <w:r w:rsidR="00B30A0A">
        <w:rPr>
          <w:bCs/>
          <w:sz w:val="28"/>
        </w:rPr>
        <w:t xml:space="preserve"> СП </w:t>
      </w:r>
      <w:r w:rsidR="00E20C89">
        <w:rPr>
          <w:bCs/>
          <w:sz w:val="28"/>
        </w:rPr>
        <w:t>«</w:t>
      </w:r>
      <w:proofErr w:type="spellStart"/>
      <w:r w:rsidR="00B30A0A">
        <w:rPr>
          <w:bCs/>
          <w:sz w:val="28"/>
        </w:rPr>
        <w:t>Хошун-Узурское</w:t>
      </w:r>
      <w:proofErr w:type="spellEnd"/>
      <w:r w:rsidR="00E20C89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E20C89">
        <w:rPr>
          <w:bCs/>
          <w:sz w:val="28"/>
        </w:rPr>
        <w:t>муниципальн</w:t>
      </w:r>
      <w:r w:rsidR="00E20C89">
        <w:rPr>
          <w:bCs/>
          <w:sz w:val="28"/>
        </w:rPr>
        <w:t>о</w:t>
      </w:r>
      <w:r w:rsidR="00E20C89">
        <w:rPr>
          <w:bCs/>
          <w:sz w:val="28"/>
        </w:rPr>
        <w:t xml:space="preserve">го образования </w:t>
      </w:r>
      <w:r w:rsidR="00B30A0A">
        <w:rPr>
          <w:bCs/>
          <w:sz w:val="28"/>
        </w:rPr>
        <w:t xml:space="preserve">СП </w:t>
      </w:r>
      <w:r w:rsidR="00E20C89">
        <w:rPr>
          <w:bCs/>
          <w:sz w:val="28"/>
        </w:rPr>
        <w:t>«</w:t>
      </w:r>
      <w:proofErr w:type="spellStart"/>
      <w:r w:rsidR="00B30A0A">
        <w:rPr>
          <w:bCs/>
          <w:sz w:val="28"/>
        </w:rPr>
        <w:t>Хошун-Узурское</w:t>
      </w:r>
      <w:proofErr w:type="spellEnd"/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CB213F">
        <w:rPr>
          <w:bCs/>
          <w:sz w:val="28"/>
        </w:rPr>
        <w:t>7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201</w:t>
      </w:r>
      <w:r w:rsidR="00CB213F">
        <w:rPr>
          <w:bCs/>
          <w:sz w:val="28"/>
        </w:rPr>
        <w:t>9</w:t>
      </w:r>
      <w:r w:rsidRPr="003B2F46">
        <w:rPr>
          <w:bCs/>
          <w:sz w:val="28"/>
        </w:rPr>
        <w:t xml:space="preserve"> годы согласно прилож</w:t>
      </w:r>
      <w:r w:rsidRPr="003B2F46">
        <w:rPr>
          <w:bCs/>
          <w:sz w:val="28"/>
        </w:rPr>
        <w:t>е</w:t>
      </w:r>
      <w:r w:rsidRPr="003B2F46">
        <w:rPr>
          <w:bCs/>
          <w:sz w:val="28"/>
        </w:rPr>
        <w:t>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 xml:space="preserve">вания </w:t>
      </w:r>
      <w:r w:rsidR="00B30A0A">
        <w:rPr>
          <w:sz w:val="28"/>
          <w:szCs w:val="28"/>
        </w:rPr>
        <w:t xml:space="preserve"> СП </w:t>
      </w:r>
      <w:r w:rsidR="000C12D4">
        <w:rPr>
          <w:sz w:val="28"/>
          <w:szCs w:val="28"/>
        </w:rPr>
        <w:t>«</w:t>
      </w:r>
      <w:proofErr w:type="spellStart"/>
      <w:r w:rsidR="00B30A0A">
        <w:rPr>
          <w:sz w:val="28"/>
          <w:szCs w:val="28"/>
        </w:rPr>
        <w:t>Хошун-Узурское</w:t>
      </w:r>
      <w:proofErr w:type="spellEnd"/>
      <w:r w:rsidR="000C12D4">
        <w:rPr>
          <w:sz w:val="28"/>
          <w:szCs w:val="28"/>
        </w:rPr>
        <w:t>»</w:t>
      </w:r>
      <w:r w:rsidR="000C12D4" w:rsidRPr="00573CF6">
        <w:rPr>
          <w:sz w:val="28"/>
          <w:szCs w:val="28"/>
        </w:rPr>
        <w:t xml:space="preserve"> при формировании и исполнении бюджета 201</w:t>
      </w:r>
      <w:r w:rsidR="00CB213F">
        <w:rPr>
          <w:sz w:val="28"/>
          <w:szCs w:val="28"/>
        </w:rPr>
        <w:t>7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 пол</w:t>
      </w:r>
      <w:r w:rsidR="000C12D4" w:rsidRPr="00573CF6">
        <w:rPr>
          <w:sz w:val="28"/>
          <w:szCs w:val="28"/>
        </w:rPr>
        <w:t>и</w:t>
      </w:r>
      <w:r w:rsidR="000C12D4" w:rsidRPr="00573CF6">
        <w:rPr>
          <w:sz w:val="28"/>
          <w:szCs w:val="28"/>
        </w:rPr>
        <w:t xml:space="preserve">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 </w:t>
      </w:r>
      <w:r w:rsidR="00B30A0A">
        <w:rPr>
          <w:sz w:val="28"/>
          <w:szCs w:val="28"/>
        </w:rPr>
        <w:t xml:space="preserve">СП </w:t>
      </w:r>
      <w:r w:rsidR="000C12D4" w:rsidRPr="00573CF6">
        <w:rPr>
          <w:sz w:val="28"/>
          <w:szCs w:val="28"/>
        </w:rPr>
        <w:t>«</w:t>
      </w:r>
      <w:proofErr w:type="spellStart"/>
      <w:r w:rsidR="00B30A0A">
        <w:rPr>
          <w:sz w:val="28"/>
          <w:szCs w:val="28"/>
        </w:rPr>
        <w:t>Хошун-Узурское</w:t>
      </w:r>
      <w:proofErr w:type="spellEnd"/>
      <w:r w:rsidR="000C12D4" w:rsidRPr="00573CF6">
        <w:rPr>
          <w:sz w:val="28"/>
          <w:szCs w:val="28"/>
        </w:rPr>
        <w:t>»</w:t>
      </w:r>
      <w:r w:rsidR="00DC6F99">
        <w:rPr>
          <w:sz w:val="28"/>
          <w:szCs w:val="28"/>
        </w:rPr>
        <w:t xml:space="preserve"> на 201</w:t>
      </w:r>
      <w:r w:rsidR="00CB213F">
        <w:rPr>
          <w:sz w:val="28"/>
          <w:szCs w:val="28"/>
        </w:rPr>
        <w:t>7</w:t>
      </w:r>
      <w:r w:rsidR="00DC6F99">
        <w:rPr>
          <w:sz w:val="28"/>
          <w:szCs w:val="28"/>
        </w:rPr>
        <w:t>-201</w:t>
      </w:r>
      <w:r w:rsidR="00CB213F">
        <w:rPr>
          <w:sz w:val="28"/>
          <w:szCs w:val="28"/>
        </w:rPr>
        <w:t>9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8A783A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B30A0A">
        <w:rPr>
          <w:rFonts w:ascii="Times New Roman" w:hAnsi="Times New Roman" w:cs="Times New Roman"/>
          <w:sz w:val="28"/>
          <w:szCs w:val="28"/>
        </w:rPr>
        <w:t>сп</w:t>
      </w:r>
      <w:r w:rsidR="00B30A0A">
        <w:rPr>
          <w:rFonts w:ascii="Times New Roman" w:hAnsi="Times New Roman" w:cs="Times New Roman"/>
          <w:sz w:val="28"/>
          <w:szCs w:val="28"/>
        </w:rPr>
        <w:t>е</w:t>
      </w:r>
      <w:r w:rsidR="00B30A0A">
        <w:rPr>
          <w:rFonts w:ascii="Times New Roman" w:hAnsi="Times New Roman" w:cs="Times New Roman"/>
          <w:sz w:val="28"/>
          <w:szCs w:val="28"/>
        </w:rPr>
        <w:t xml:space="preserve">циалиста 1 разряда (главного бухгалтера) </w:t>
      </w:r>
      <w:proofErr w:type="spellStart"/>
      <w:r w:rsidR="00B30A0A">
        <w:rPr>
          <w:rFonts w:ascii="Times New Roman" w:hAnsi="Times New Roman" w:cs="Times New Roman"/>
          <w:sz w:val="28"/>
          <w:szCs w:val="28"/>
        </w:rPr>
        <w:t>Гомбожапову</w:t>
      </w:r>
      <w:proofErr w:type="spellEnd"/>
      <w:r w:rsidR="00B30A0A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7B6032" w:rsidRPr="003B2F46" w:rsidRDefault="007B6032" w:rsidP="000C12D4">
      <w:pPr>
        <w:pStyle w:val="11"/>
        <w:spacing w:line="240" w:lineRule="auto"/>
        <w:ind w:firstLine="709"/>
        <w:rPr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5104"/>
        <w:gridCol w:w="5245"/>
      </w:tblGrid>
      <w:tr w:rsidR="003B2F46" w:rsidRPr="00710AD8" w:rsidTr="00A02415">
        <w:tc>
          <w:tcPr>
            <w:tcW w:w="5104" w:type="dxa"/>
          </w:tcPr>
          <w:p w:rsidR="003B2F46" w:rsidRPr="00710AD8" w:rsidRDefault="00CB213F" w:rsidP="00B30A0A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 w:rsidR="00B30A0A">
              <w:rPr>
                <w:b/>
                <w:sz w:val="28"/>
              </w:rPr>
              <w:t xml:space="preserve"> МО СП  </w:t>
            </w:r>
            <w:r w:rsidR="00A02415">
              <w:rPr>
                <w:b/>
                <w:sz w:val="28"/>
              </w:rPr>
              <w:t>«</w:t>
            </w:r>
            <w:proofErr w:type="spellStart"/>
            <w:r w:rsidR="00B30A0A">
              <w:rPr>
                <w:b/>
                <w:sz w:val="28"/>
              </w:rPr>
              <w:t>Хошун-Узурское</w:t>
            </w:r>
            <w:proofErr w:type="spellEnd"/>
            <w:r w:rsidR="00A02415">
              <w:rPr>
                <w:b/>
                <w:sz w:val="28"/>
              </w:rPr>
              <w:t>»</w:t>
            </w:r>
            <w:r w:rsidR="00B30A0A">
              <w:rPr>
                <w:b/>
                <w:sz w:val="28"/>
              </w:rPr>
              <w:t xml:space="preserve">                                                      </w:t>
            </w:r>
          </w:p>
        </w:tc>
        <w:tc>
          <w:tcPr>
            <w:tcW w:w="5245" w:type="dxa"/>
          </w:tcPr>
          <w:p w:rsidR="003B2F46" w:rsidRPr="00710AD8" w:rsidRDefault="00B30A0A" w:rsidP="00B30A0A">
            <w:pPr>
              <w:pStyle w:val="11"/>
              <w:spacing w:line="240" w:lineRule="auto"/>
              <w:ind w:right="88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Ж.Д.Иванов</w:t>
            </w:r>
          </w:p>
        </w:tc>
      </w:tr>
    </w:tbl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Pr="00710AD8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30A0A" w:rsidRDefault="00B30A0A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E20C89" w:rsidRDefault="00E20C89" w:rsidP="00B30A0A">
      <w:pPr>
        <w:pStyle w:val="13"/>
        <w:widowControl/>
        <w:spacing w:line="240" w:lineRule="auto"/>
        <w:ind w:firstLine="0"/>
        <w:rPr>
          <w:sz w:val="24"/>
          <w:szCs w:val="24"/>
        </w:rPr>
      </w:pPr>
    </w:p>
    <w:p w:rsidR="000C12D4" w:rsidRPr="00DB4BEF" w:rsidRDefault="00DC6F99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6032" w:rsidRPr="00DB4BEF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E20C89">
        <w:rPr>
          <w:sz w:val="28"/>
          <w:szCs w:val="28"/>
        </w:rPr>
        <w:t>р</w:t>
      </w:r>
      <w:r w:rsidR="007B6032"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7B6032" w:rsidRPr="00DB4BEF">
        <w:rPr>
          <w:sz w:val="28"/>
          <w:szCs w:val="28"/>
        </w:rPr>
        <w:t xml:space="preserve"> </w:t>
      </w:r>
      <w:r w:rsidR="00A02415" w:rsidRPr="00DB4BEF">
        <w:rPr>
          <w:sz w:val="28"/>
          <w:szCs w:val="28"/>
        </w:rPr>
        <w:t xml:space="preserve">Администрации </w:t>
      </w:r>
    </w:p>
    <w:p w:rsidR="00A02415" w:rsidRPr="00DB4BEF" w:rsidRDefault="00A02415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A02415" w:rsidRPr="00DB4BEF" w:rsidRDefault="00B30A0A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A02415" w:rsidRPr="00DB4B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Хошун-Узурское</w:t>
      </w:r>
      <w:proofErr w:type="spellEnd"/>
      <w:r w:rsidR="00A02415" w:rsidRPr="00DB4BEF">
        <w:rPr>
          <w:sz w:val="28"/>
          <w:szCs w:val="28"/>
        </w:rPr>
        <w:t>»</w:t>
      </w:r>
    </w:p>
    <w:p w:rsidR="007B6032" w:rsidRPr="00DB4BEF" w:rsidRDefault="00282BDA" w:rsidP="007B6032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о</w:t>
      </w:r>
      <w:r w:rsidR="007B6032" w:rsidRPr="00DB4BEF">
        <w:rPr>
          <w:sz w:val="28"/>
          <w:szCs w:val="28"/>
        </w:rPr>
        <w:t>т</w:t>
      </w:r>
      <w:r w:rsidR="00D3365B" w:rsidRPr="00DB4BEF">
        <w:rPr>
          <w:sz w:val="28"/>
          <w:szCs w:val="28"/>
        </w:rPr>
        <w:t xml:space="preserve"> </w:t>
      </w:r>
      <w:r w:rsidR="00B30A0A">
        <w:rPr>
          <w:sz w:val="28"/>
          <w:szCs w:val="28"/>
        </w:rPr>
        <w:t>« 09</w:t>
      </w:r>
      <w:r w:rsidRPr="00DB4BEF">
        <w:rPr>
          <w:sz w:val="28"/>
          <w:szCs w:val="28"/>
        </w:rPr>
        <w:t xml:space="preserve">» </w:t>
      </w:r>
      <w:r w:rsidR="00B30A0A">
        <w:rPr>
          <w:sz w:val="28"/>
          <w:szCs w:val="28"/>
        </w:rPr>
        <w:t>ноя</w:t>
      </w:r>
      <w:r w:rsidR="00E20C89">
        <w:rPr>
          <w:sz w:val="28"/>
          <w:szCs w:val="28"/>
        </w:rPr>
        <w:t>бря</w:t>
      </w:r>
      <w:r w:rsidR="005E6336" w:rsidRPr="00DB4BEF">
        <w:rPr>
          <w:sz w:val="28"/>
          <w:szCs w:val="28"/>
        </w:rPr>
        <w:t xml:space="preserve"> </w:t>
      </w:r>
      <w:r w:rsidR="007B6032" w:rsidRPr="00DB4BEF">
        <w:rPr>
          <w:sz w:val="28"/>
          <w:szCs w:val="28"/>
        </w:rPr>
        <w:t>201</w:t>
      </w:r>
      <w:r w:rsidR="00CB213F">
        <w:rPr>
          <w:sz w:val="28"/>
          <w:szCs w:val="28"/>
        </w:rPr>
        <w:t>6г.</w:t>
      </w:r>
      <w:r w:rsidR="007B6032" w:rsidRPr="00DB4BEF">
        <w:rPr>
          <w:sz w:val="28"/>
          <w:szCs w:val="28"/>
        </w:rPr>
        <w:t xml:space="preserve">  №</w:t>
      </w:r>
      <w:r w:rsidR="00B30A0A">
        <w:rPr>
          <w:sz w:val="28"/>
          <w:szCs w:val="28"/>
        </w:rPr>
        <w:t>26</w:t>
      </w:r>
      <w:r w:rsidR="00A02415" w:rsidRPr="00DB4BEF">
        <w:rPr>
          <w:sz w:val="28"/>
          <w:szCs w:val="28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E20C89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  <w:r w:rsidR="00F11AA7" w:rsidRPr="00F11AA7">
        <w:rPr>
          <w:b/>
          <w:sz w:val="28"/>
        </w:rPr>
        <w:t xml:space="preserve"> </w:t>
      </w:r>
      <w:r w:rsidR="00E20C89">
        <w:rPr>
          <w:b/>
          <w:sz w:val="28"/>
        </w:rPr>
        <w:t>муниципального образования</w:t>
      </w:r>
    </w:p>
    <w:p w:rsidR="007B6032" w:rsidRPr="00D460E5" w:rsidRDefault="00B30A0A" w:rsidP="00E20C89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сельское поселение </w:t>
      </w:r>
      <w:r w:rsidR="00E20C89">
        <w:rPr>
          <w:b/>
          <w:sz w:val="28"/>
        </w:rPr>
        <w:t>«</w:t>
      </w:r>
      <w:proofErr w:type="spellStart"/>
      <w:r>
        <w:rPr>
          <w:b/>
          <w:sz w:val="28"/>
        </w:rPr>
        <w:t>Хошун-Узурское</w:t>
      </w:r>
      <w:proofErr w:type="spellEnd"/>
      <w:r w:rsidR="00E20C89">
        <w:rPr>
          <w:b/>
          <w:sz w:val="28"/>
        </w:rPr>
        <w:t xml:space="preserve">» </w:t>
      </w:r>
      <w:r w:rsidR="007B6032" w:rsidRPr="00D460E5">
        <w:rPr>
          <w:b/>
          <w:sz w:val="28"/>
        </w:rPr>
        <w:t>на 201</w:t>
      </w:r>
      <w:r w:rsidR="00CB213F">
        <w:rPr>
          <w:b/>
          <w:sz w:val="28"/>
        </w:rPr>
        <w:t>7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201</w:t>
      </w:r>
      <w:r w:rsidR="00CB213F">
        <w:rPr>
          <w:b/>
          <w:sz w:val="28"/>
        </w:rPr>
        <w:t>9</w:t>
      </w:r>
      <w:r w:rsidR="007B6032" w:rsidRPr="00D460E5">
        <w:rPr>
          <w:b/>
          <w:sz w:val="28"/>
        </w:rPr>
        <w:t xml:space="preserve"> годы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64236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политики </w:t>
      </w:r>
      <w:r w:rsidR="00B30A0A">
        <w:rPr>
          <w:bCs/>
          <w:sz w:val="28"/>
        </w:rPr>
        <w:t>МО СП</w:t>
      </w:r>
      <w:r w:rsidR="00E20C89">
        <w:rPr>
          <w:bCs/>
          <w:sz w:val="28"/>
        </w:rPr>
        <w:t xml:space="preserve"> «</w:t>
      </w:r>
      <w:proofErr w:type="spellStart"/>
      <w:r w:rsidR="00B30A0A">
        <w:rPr>
          <w:bCs/>
          <w:sz w:val="28"/>
        </w:rPr>
        <w:t>Хошун-Узурское</w:t>
      </w:r>
      <w:proofErr w:type="spellEnd"/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201</w:t>
      </w:r>
      <w:r w:rsidR="00CB213F">
        <w:rPr>
          <w:bCs/>
          <w:sz w:val="28"/>
          <w:szCs w:val="28"/>
        </w:rPr>
        <w:t>7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 (далее – Основные направления бюджетной политики)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готовлены в соответствии с бюджетным законодательством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</w:t>
      </w:r>
      <w:r w:rsidR="00AC3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</w:t>
      </w:r>
      <w:r w:rsidR="00AC31F2">
        <w:rPr>
          <w:bCs/>
          <w:sz w:val="28"/>
          <w:szCs w:val="28"/>
        </w:rPr>
        <w:t xml:space="preserve"> и нормативн</w:t>
      </w:r>
      <w:r w:rsidR="00E20C89">
        <w:rPr>
          <w:bCs/>
          <w:sz w:val="28"/>
          <w:szCs w:val="28"/>
        </w:rPr>
        <w:t xml:space="preserve">ыми </w:t>
      </w:r>
      <w:r w:rsidR="00AC31F2">
        <w:rPr>
          <w:bCs/>
          <w:sz w:val="28"/>
          <w:szCs w:val="28"/>
        </w:rPr>
        <w:t>правовы</w:t>
      </w:r>
      <w:r w:rsidR="00E20C89">
        <w:rPr>
          <w:bCs/>
          <w:sz w:val="28"/>
          <w:szCs w:val="28"/>
        </w:rPr>
        <w:t>ми</w:t>
      </w:r>
      <w:r w:rsidR="00AC31F2">
        <w:rPr>
          <w:bCs/>
          <w:sz w:val="28"/>
          <w:szCs w:val="28"/>
        </w:rPr>
        <w:t xml:space="preserve"> </w:t>
      </w:r>
      <w:r w:rsidR="00B30A0A">
        <w:rPr>
          <w:bCs/>
          <w:sz w:val="28"/>
        </w:rPr>
        <w:t>МО СП</w:t>
      </w:r>
      <w:r w:rsidR="00E90D65">
        <w:rPr>
          <w:bCs/>
          <w:sz w:val="28"/>
        </w:rPr>
        <w:t xml:space="preserve"> «</w:t>
      </w:r>
      <w:proofErr w:type="spellStart"/>
      <w:r w:rsidR="00B30A0A">
        <w:rPr>
          <w:bCs/>
          <w:sz w:val="28"/>
        </w:rPr>
        <w:t>Хошун-Узурское</w:t>
      </w:r>
      <w:proofErr w:type="spellEnd"/>
      <w:r w:rsidR="00E90D65">
        <w:rPr>
          <w:bCs/>
          <w:sz w:val="28"/>
        </w:rPr>
        <w:t>»</w:t>
      </w:r>
      <w:r w:rsidR="00E90D65" w:rsidRPr="003B2F46">
        <w:rPr>
          <w:bCs/>
          <w:sz w:val="28"/>
        </w:rPr>
        <w:t xml:space="preserve"> </w:t>
      </w:r>
      <w:r w:rsidR="00E90D65">
        <w:rPr>
          <w:bCs/>
          <w:sz w:val="28"/>
        </w:rPr>
        <w:t>(далее – муниципальный район)</w:t>
      </w:r>
      <w:r>
        <w:rPr>
          <w:bCs/>
          <w:sz w:val="28"/>
          <w:szCs w:val="28"/>
        </w:rPr>
        <w:t xml:space="preserve"> в целях составления проекта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E90D6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на 201</w:t>
      </w:r>
      <w:r w:rsidR="00CB213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на плановый период 201</w:t>
      </w:r>
      <w:r w:rsidR="00CB213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годов.</w:t>
      </w:r>
      <w:proofErr w:type="gramEnd"/>
    </w:p>
    <w:p w:rsidR="00282BDA" w:rsidRPr="009D01F1" w:rsidRDefault="00282BDA" w:rsidP="001550AF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E90D65">
        <w:rPr>
          <w:bCs/>
          <w:sz w:val="28"/>
          <w:szCs w:val="28"/>
        </w:rPr>
        <w:t>муниципального района</w:t>
      </w:r>
      <w:r w:rsidRPr="009D01F1">
        <w:rPr>
          <w:bCs/>
          <w:sz w:val="28"/>
          <w:szCs w:val="28"/>
        </w:rPr>
        <w:t xml:space="preserve"> на среднесрочную перспе</w:t>
      </w:r>
      <w:r w:rsidRPr="009D01F1">
        <w:rPr>
          <w:bCs/>
          <w:sz w:val="28"/>
          <w:szCs w:val="28"/>
        </w:rPr>
        <w:t>к</w:t>
      </w:r>
      <w:r w:rsidRPr="009D01F1">
        <w:rPr>
          <w:bCs/>
          <w:sz w:val="28"/>
          <w:szCs w:val="28"/>
        </w:rPr>
        <w:t>тиву сохраняет преемственность бюджетной политики предыдущего планового периода и ориентирована на реализацию основных задач</w:t>
      </w:r>
      <w:r w:rsidR="00CB213F">
        <w:rPr>
          <w:bCs/>
          <w:sz w:val="28"/>
          <w:szCs w:val="28"/>
        </w:rPr>
        <w:t>,</w:t>
      </w:r>
      <w:r w:rsidR="00555427">
        <w:rPr>
          <w:bCs/>
          <w:sz w:val="28"/>
          <w:szCs w:val="28"/>
        </w:rPr>
        <w:t xml:space="preserve"> </w:t>
      </w:r>
      <w:r w:rsidR="00CB213F">
        <w:rPr>
          <w:bCs/>
          <w:sz w:val="28"/>
          <w:szCs w:val="28"/>
        </w:rPr>
        <w:t xml:space="preserve">определенных </w:t>
      </w:r>
      <w:r w:rsidRPr="009D01F1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с</w:t>
      </w:r>
      <w:r w:rsidRPr="009D01F1">
        <w:rPr>
          <w:bCs/>
          <w:sz w:val="28"/>
          <w:szCs w:val="28"/>
        </w:rPr>
        <w:t>новными направлениями бюджетной политики Российской Федерации на 201</w:t>
      </w:r>
      <w:r w:rsidR="00CB213F">
        <w:rPr>
          <w:bCs/>
          <w:sz w:val="28"/>
          <w:szCs w:val="28"/>
        </w:rPr>
        <w:t>7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201</w:t>
      </w:r>
      <w:r w:rsidR="00CB213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годов,</w:t>
      </w:r>
      <w:r w:rsidR="00555427" w:rsidRPr="00555427">
        <w:rPr>
          <w:bCs/>
          <w:sz w:val="28"/>
          <w:szCs w:val="28"/>
        </w:rPr>
        <w:t xml:space="preserve"> </w:t>
      </w:r>
      <w:r w:rsidR="00555427" w:rsidRPr="009D01F1">
        <w:rPr>
          <w:bCs/>
          <w:sz w:val="28"/>
          <w:szCs w:val="28"/>
        </w:rPr>
        <w:t>Основными направлениями бю</w:t>
      </w:r>
      <w:r w:rsidR="00555427" w:rsidRPr="009D01F1">
        <w:rPr>
          <w:bCs/>
          <w:sz w:val="28"/>
          <w:szCs w:val="28"/>
        </w:rPr>
        <w:t>д</w:t>
      </w:r>
      <w:r w:rsidR="00555427" w:rsidRPr="009D01F1">
        <w:rPr>
          <w:bCs/>
          <w:sz w:val="28"/>
          <w:szCs w:val="28"/>
        </w:rPr>
        <w:t xml:space="preserve">жетной политики </w:t>
      </w:r>
      <w:r w:rsidR="00555427">
        <w:rPr>
          <w:bCs/>
          <w:sz w:val="28"/>
          <w:szCs w:val="28"/>
        </w:rPr>
        <w:t>Республики Бурятия</w:t>
      </w:r>
      <w:r w:rsidR="00555427" w:rsidRPr="009D01F1">
        <w:rPr>
          <w:bCs/>
          <w:sz w:val="28"/>
          <w:szCs w:val="28"/>
        </w:rPr>
        <w:t xml:space="preserve"> на 201</w:t>
      </w:r>
      <w:r w:rsidR="00555427">
        <w:rPr>
          <w:bCs/>
          <w:sz w:val="28"/>
          <w:szCs w:val="28"/>
        </w:rPr>
        <w:t>7</w:t>
      </w:r>
      <w:r w:rsidR="00555427" w:rsidRPr="009D01F1">
        <w:rPr>
          <w:bCs/>
          <w:sz w:val="28"/>
          <w:szCs w:val="28"/>
        </w:rPr>
        <w:t xml:space="preserve"> год и на пл</w:t>
      </w:r>
      <w:r w:rsidR="00555427">
        <w:rPr>
          <w:bCs/>
          <w:sz w:val="28"/>
          <w:szCs w:val="28"/>
        </w:rPr>
        <w:t>ановый период 2018 и 2019 годов,</w:t>
      </w:r>
      <w:r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</w:t>
      </w:r>
      <w:proofErr w:type="gramEnd"/>
      <w:r w:rsidRPr="009D01F1">
        <w:rPr>
          <w:bCs/>
          <w:sz w:val="28"/>
          <w:szCs w:val="28"/>
        </w:rPr>
        <w:t xml:space="preserve"> государственными финансами и государственным долгом»</w:t>
      </w:r>
      <w:r w:rsidR="00B64236">
        <w:rPr>
          <w:bCs/>
          <w:sz w:val="28"/>
          <w:szCs w:val="28"/>
        </w:rPr>
        <w:t xml:space="preserve">, </w:t>
      </w:r>
      <w:r w:rsidR="00B64236" w:rsidRPr="00752D9C">
        <w:rPr>
          <w:bCs/>
          <w:sz w:val="28"/>
          <w:szCs w:val="28"/>
        </w:rPr>
        <w:t>муниципальной программой «Управление муниципальными финансами и муниципальным до</w:t>
      </w:r>
      <w:r w:rsidR="00B64236" w:rsidRPr="00752D9C">
        <w:rPr>
          <w:bCs/>
          <w:sz w:val="28"/>
          <w:szCs w:val="28"/>
        </w:rPr>
        <w:t>л</w:t>
      </w:r>
      <w:r w:rsidR="00B64236" w:rsidRPr="00752D9C">
        <w:rPr>
          <w:bCs/>
          <w:sz w:val="28"/>
          <w:szCs w:val="28"/>
        </w:rPr>
        <w:t>гом».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В 2016 году по предварительной оценке объем валового производства сельскохозяйственной продукции составит </w:t>
      </w:r>
      <w:r w:rsidR="00320FED">
        <w:rPr>
          <w:sz w:val="28"/>
          <w:szCs w:val="28"/>
        </w:rPr>
        <w:t>24,5</w:t>
      </w:r>
      <w:r w:rsidRPr="00190550">
        <w:rPr>
          <w:sz w:val="28"/>
          <w:szCs w:val="28"/>
        </w:rPr>
        <w:t xml:space="preserve"> млн. руб., или  101% к уровню 2015 года.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Объем инвестиций в основной капитал  ожидается в объеме  </w:t>
      </w:r>
      <w:r w:rsidR="00320FED">
        <w:rPr>
          <w:sz w:val="28"/>
          <w:szCs w:val="28"/>
        </w:rPr>
        <w:t>0,5</w:t>
      </w:r>
      <w:r w:rsidRPr="00190550">
        <w:rPr>
          <w:sz w:val="28"/>
          <w:szCs w:val="28"/>
        </w:rPr>
        <w:t xml:space="preserve"> млн. руб., или  102,9% к уровню 2015 года.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В 2016 году в связи с замедлением потребительского спроса ожидается незначительный рост розничного товарооборота  - на 0,1%, что составит  </w:t>
      </w:r>
      <w:r w:rsidR="00320FED">
        <w:rPr>
          <w:sz w:val="28"/>
          <w:szCs w:val="28"/>
        </w:rPr>
        <w:t>16,0</w:t>
      </w:r>
      <w:r w:rsidRPr="00190550">
        <w:rPr>
          <w:sz w:val="28"/>
          <w:szCs w:val="28"/>
        </w:rPr>
        <w:t xml:space="preserve"> млн. руб. 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Объем платных услуг населению составит </w:t>
      </w:r>
      <w:r w:rsidR="00320FED">
        <w:rPr>
          <w:sz w:val="28"/>
          <w:szCs w:val="28"/>
        </w:rPr>
        <w:t xml:space="preserve">0,043 </w:t>
      </w:r>
      <w:r w:rsidRPr="00190550">
        <w:rPr>
          <w:sz w:val="28"/>
          <w:szCs w:val="28"/>
        </w:rPr>
        <w:t>млн. руб. с ростом  к уровню 2015 года  100,%.</w:t>
      </w:r>
    </w:p>
    <w:p w:rsidR="00E11287" w:rsidRPr="00190550" w:rsidRDefault="00E11287" w:rsidP="00E11287">
      <w:pPr>
        <w:tabs>
          <w:tab w:val="left" w:pos="500"/>
        </w:tabs>
        <w:rPr>
          <w:color w:val="FFFFFF"/>
          <w:sz w:val="28"/>
          <w:szCs w:val="28"/>
        </w:rPr>
      </w:pPr>
      <w:r w:rsidRPr="00190550">
        <w:rPr>
          <w:sz w:val="28"/>
          <w:szCs w:val="28"/>
        </w:rPr>
        <w:t xml:space="preserve">Уровень  общей безработицы по оценке ожидается 10, % в 2016 году на уровне 2015 года.   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lastRenderedPageBreak/>
        <w:t>Численность безработных, зарегистрированных в государственных учр</w:t>
      </w:r>
      <w:r w:rsidRPr="00190550">
        <w:rPr>
          <w:sz w:val="28"/>
          <w:szCs w:val="28"/>
        </w:rPr>
        <w:t>е</w:t>
      </w:r>
      <w:r w:rsidRPr="00190550">
        <w:rPr>
          <w:sz w:val="28"/>
          <w:szCs w:val="28"/>
        </w:rPr>
        <w:t>ждениях службы занятости населения</w:t>
      </w:r>
      <w:r w:rsidR="00797728">
        <w:rPr>
          <w:sz w:val="28"/>
          <w:szCs w:val="28"/>
        </w:rPr>
        <w:t>,</w:t>
      </w:r>
      <w:r w:rsidRPr="00190550">
        <w:rPr>
          <w:sz w:val="28"/>
          <w:szCs w:val="28"/>
        </w:rPr>
        <w:t xml:space="preserve"> составит </w:t>
      </w:r>
      <w:r w:rsidR="00320FED">
        <w:rPr>
          <w:sz w:val="28"/>
          <w:szCs w:val="28"/>
        </w:rPr>
        <w:t>3</w:t>
      </w:r>
      <w:r w:rsidRPr="00190550">
        <w:rPr>
          <w:sz w:val="28"/>
          <w:szCs w:val="28"/>
        </w:rPr>
        <w:t xml:space="preserve"> человек, что не превысит п</w:t>
      </w:r>
      <w:r w:rsidRPr="00190550">
        <w:rPr>
          <w:sz w:val="28"/>
          <w:szCs w:val="28"/>
        </w:rPr>
        <w:t>о</w:t>
      </w:r>
      <w:r w:rsidRPr="00190550">
        <w:rPr>
          <w:sz w:val="28"/>
          <w:szCs w:val="28"/>
        </w:rPr>
        <w:t>казатель 2015года.</w:t>
      </w:r>
    </w:p>
    <w:p w:rsidR="00210138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Базовый вариант предварительного прогноза социально-экономического развития муниципального район</w:t>
      </w:r>
      <w:r w:rsidR="00E90D65">
        <w:rPr>
          <w:sz w:val="28"/>
          <w:szCs w:val="28"/>
        </w:rPr>
        <w:t>а</w:t>
      </w:r>
      <w:r w:rsidRPr="00923886">
        <w:rPr>
          <w:sz w:val="28"/>
          <w:szCs w:val="28"/>
        </w:rPr>
        <w:t xml:space="preserve"> предполагает следующую динамику осно</w:t>
      </w:r>
      <w:r w:rsidRPr="00923886">
        <w:rPr>
          <w:sz w:val="28"/>
          <w:szCs w:val="28"/>
        </w:rPr>
        <w:t>в</w:t>
      </w:r>
      <w:r w:rsidRPr="00923886">
        <w:rPr>
          <w:sz w:val="28"/>
          <w:szCs w:val="28"/>
        </w:rPr>
        <w:t>ных макроэкономических показателей:</w:t>
      </w:r>
    </w:p>
    <w:p w:rsidR="001550AF" w:rsidRPr="00923886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8"/>
        <w:gridCol w:w="2007"/>
        <w:gridCol w:w="1290"/>
        <w:gridCol w:w="861"/>
        <w:gridCol w:w="1004"/>
        <w:gridCol w:w="914"/>
      </w:tblGrid>
      <w:tr w:rsidR="00210138" w:rsidRPr="003E1337" w:rsidTr="00210138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6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10138" w:rsidRPr="003E1337" w:rsidTr="00210138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7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8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9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320FED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320FED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320FED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320FED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0,627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промышленного прои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з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795C9C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795C9C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5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795C9C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10138" w:rsidRPr="003E1337" w:rsidTr="0021013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физического объема инв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стиций в основной капитал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</w:tbl>
    <w:p w:rsidR="00210138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6737A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E1337">
        <w:rPr>
          <w:sz w:val="28"/>
          <w:szCs w:val="28"/>
        </w:rPr>
        <w:t xml:space="preserve">Таким образом, базовый вариант предварительного прогноза социально-экономического развития </w:t>
      </w:r>
      <w:r w:rsidR="00320FED">
        <w:rPr>
          <w:sz w:val="28"/>
          <w:szCs w:val="28"/>
        </w:rPr>
        <w:t>сельского поселения</w:t>
      </w:r>
      <w:r w:rsidRPr="003E1337">
        <w:rPr>
          <w:sz w:val="28"/>
          <w:szCs w:val="28"/>
        </w:rPr>
        <w:t xml:space="preserve"> на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- 201</w:t>
      </w:r>
      <w:r w:rsidR="00225EEE">
        <w:rPr>
          <w:sz w:val="28"/>
          <w:szCs w:val="28"/>
        </w:rPr>
        <w:t>9</w:t>
      </w:r>
      <w:r w:rsidRPr="003E1337">
        <w:rPr>
          <w:sz w:val="28"/>
          <w:szCs w:val="28"/>
        </w:rPr>
        <w:t xml:space="preserve"> годы, взятый за основу для составления проекта  </w:t>
      </w:r>
      <w:r w:rsidR="00320FED">
        <w:rPr>
          <w:sz w:val="28"/>
          <w:szCs w:val="28"/>
        </w:rPr>
        <w:t xml:space="preserve">местного </w:t>
      </w:r>
      <w:r w:rsidRPr="003E1337">
        <w:rPr>
          <w:sz w:val="28"/>
          <w:szCs w:val="28"/>
        </w:rPr>
        <w:t>бюджета на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- 201</w:t>
      </w:r>
      <w:r w:rsidR="00225EEE">
        <w:rPr>
          <w:sz w:val="28"/>
          <w:szCs w:val="28"/>
        </w:rPr>
        <w:t>9</w:t>
      </w:r>
      <w:r w:rsidRPr="003E1337">
        <w:rPr>
          <w:sz w:val="28"/>
          <w:szCs w:val="28"/>
        </w:rPr>
        <w:t xml:space="preserve"> годы, пред</w:t>
      </w:r>
      <w:r w:rsidRPr="003E1337">
        <w:rPr>
          <w:sz w:val="28"/>
          <w:szCs w:val="28"/>
        </w:rPr>
        <w:t>у</w:t>
      </w:r>
      <w:r w:rsidRPr="003E1337">
        <w:rPr>
          <w:sz w:val="28"/>
          <w:szCs w:val="28"/>
        </w:rPr>
        <w:t>сматривает более низкие темпы развития экономики  в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году и постепенное ускорение темпов прироста в плановом периоде.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 xml:space="preserve">жетной политики </w:t>
      </w:r>
      <w:r w:rsidR="00E90D65">
        <w:rPr>
          <w:bCs/>
          <w:sz w:val="28"/>
          <w:szCs w:val="28"/>
        </w:rPr>
        <w:t>муниципального района</w:t>
      </w:r>
      <w:r w:rsidRPr="006737AB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изменения норм федерального</w:t>
      </w:r>
      <w:r w:rsidR="001550AF">
        <w:rPr>
          <w:bCs/>
          <w:snapToGrid w:val="0"/>
          <w:sz w:val="28"/>
          <w:szCs w:val="28"/>
        </w:rPr>
        <w:t xml:space="preserve"> и республиканского </w:t>
      </w:r>
      <w:r w:rsidRPr="006737A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ухудшение общеэкономической ситуации в Российской Федерации</w:t>
      </w:r>
      <w:r w:rsidR="001550AF">
        <w:rPr>
          <w:bCs/>
          <w:snapToGrid w:val="0"/>
          <w:sz w:val="28"/>
          <w:szCs w:val="28"/>
        </w:rPr>
        <w:t xml:space="preserve"> и Республике Бурятия</w:t>
      </w:r>
      <w:r w:rsidRPr="006737AB">
        <w:rPr>
          <w:bCs/>
          <w:snapToGrid w:val="0"/>
          <w:sz w:val="28"/>
          <w:szCs w:val="28"/>
        </w:rPr>
        <w:t>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 xml:space="preserve">последствия дефицитного финансирования </w:t>
      </w:r>
      <w:r w:rsidR="001550AF">
        <w:rPr>
          <w:bCs/>
          <w:snapToGrid w:val="0"/>
          <w:sz w:val="28"/>
          <w:szCs w:val="28"/>
        </w:rPr>
        <w:t>районного</w:t>
      </w:r>
      <w:r w:rsidRPr="006737AB">
        <w:rPr>
          <w:bCs/>
          <w:snapToGrid w:val="0"/>
          <w:sz w:val="28"/>
          <w:szCs w:val="28"/>
        </w:rPr>
        <w:t xml:space="preserve"> бюджета в пре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 xml:space="preserve">шествующие периоды времени в результате низких темпов роста налоговых и неналоговых доходов бюджета </w:t>
      </w:r>
      <w:r w:rsidR="00E90D65">
        <w:rPr>
          <w:bCs/>
          <w:sz w:val="28"/>
          <w:szCs w:val="28"/>
        </w:rPr>
        <w:t>муниципального района</w:t>
      </w:r>
      <w:r w:rsidRPr="006737AB">
        <w:rPr>
          <w:bCs/>
          <w:snapToGrid w:val="0"/>
          <w:sz w:val="28"/>
          <w:szCs w:val="28"/>
        </w:rPr>
        <w:t>.</w:t>
      </w:r>
    </w:p>
    <w:p w:rsidR="00351DD2" w:rsidRDefault="00B64236" w:rsidP="00B64236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6737AB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="00351DD2" w:rsidRPr="00351DD2">
        <w:rPr>
          <w:bCs/>
          <w:sz w:val="28"/>
          <w:szCs w:val="28"/>
          <w:highlight w:val="yellow"/>
        </w:rPr>
        <w:t xml:space="preserve"> </w:t>
      </w:r>
    </w:p>
    <w:p w:rsidR="00B64236" w:rsidRPr="00EA1933" w:rsidRDefault="00351DD2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 xml:space="preserve">В современных условиях рецессии экономики и снижения доходной базы на первый план выходит задача </w:t>
      </w:r>
      <w:r w:rsidRPr="002D7FA1">
        <w:rPr>
          <w:bCs/>
          <w:sz w:val="28"/>
          <w:szCs w:val="28"/>
        </w:rPr>
        <w:t>обеспечения сбалансированности</w:t>
      </w:r>
      <w:r w:rsidRPr="00EA1933">
        <w:rPr>
          <w:b/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бюджета </w:t>
      </w:r>
      <w:r w:rsidR="00320FED">
        <w:rPr>
          <w:bCs/>
          <w:sz w:val="28"/>
          <w:szCs w:val="28"/>
        </w:rPr>
        <w:t>МО СП «</w:t>
      </w:r>
      <w:proofErr w:type="spellStart"/>
      <w:r w:rsidR="00320FED">
        <w:rPr>
          <w:bCs/>
          <w:sz w:val="28"/>
          <w:szCs w:val="28"/>
        </w:rPr>
        <w:t>Хошун-Узурское</w:t>
      </w:r>
      <w:proofErr w:type="spellEnd"/>
      <w:r w:rsidR="00320FED">
        <w:rPr>
          <w:bCs/>
          <w:sz w:val="28"/>
          <w:szCs w:val="28"/>
        </w:rPr>
        <w:t>»</w:t>
      </w:r>
      <w:r w:rsidRPr="00EA1933">
        <w:rPr>
          <w:bCs/>
          <w:sz w:val="28"/>
          <w:szCs w:val="28"/>
        </w:rPr>
        <w:t>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Основными направлениями действий </w:t>
      </w:r>
      <w:r w:rsidR="00E77601" w:rsidRPr="00EA1933">
        <w:rPr>
          <w:bCs/>
          <w:sz w:val="28"/>
          <w:szCs w:val="28"/>
        </w:rPr>
        <w:t>Администрации муниципального образования</w:t>
      </w:r>
      <w:r w:rsidR="00320FED">
        <w:rPr>
          <w:bCs/>
          <w:sz w:val="28"/>
          <w:szCs w:val="28"/>
        </w:rPr>
        <w:t xml:space="preserve"> СП</w:t>
      </w:r>
      <w:r w:rsidR="00E77601" w:rsidRPr="00EA1933">
        <w:rPr>
          <w:bCs/>
          <w:sz w:val="28"/>
          <w:szCs w:val="28"/>
        </w:rPr>
        <w:t xml:space="preserve"> «</w:t>
      </w:r>
      <w:proofErr w:type="spellStart"/>
      <w:r w:rsidR="00B30A0A">
        <w:rPr>
          <w:bCs/>
          <w:sz w:val="28"/>
          <w:szCs w:val="28"/>
        </w:rPr>
        <w:t>Хошун-Узурское</w:t>
      </w:r>
      <w:proofErr w:type="spellEnd"/>
      <w:r w:rsidR="00E77601" w:rsidRPr="00EA1933">
        <w:rPr>
          <w:bCs/>
          <w:sz w:val="28"/>
          <w:szCs w:val="28"/>
        </w:rPr>
        <w:t>»</w:t>
      </w:r>
      <w:r w:rsidRPr="00EA1933">
        <w:rPr>
          <w:bCs/>
          <w:sz w:val="28"/>
          <w:szCs w:val="28"/>
        </w:rPr>
        <w:t xml:space="preserve"> </w:t>
      </w:r>
      <w:r w:rsidRPr="002D7FA1">
        <w:rPr>
          <w:bCs/>
          <w:sz w:val="28"/>
          <w:szCs w:val="28"/>
        </w:rPr>
        <w:t>по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экономики р</w:t>
      </w:r>
      <w:r w:rsidR="00E77601" w:rsidRPr="00EA1933">
        <w:rPr>
          <w:bCs/>
          <w:sz w:val="28"/>
          <w:szCs w:val="28"/>
        </w:rPr>
        <w:t>а</w:t>
      </w:r>
      <w:r w:rsidR="00E77601" w:rsidRPr="00EA1933">
        <w:rPr>
          <w:bCs/>
          <w:sz w:val="28"/>
          <w:szCs w:val="28"/>
        </w:rPr>
        <w:t>й</w:t>
      </w:r>
      <w:r w:rsidR="00E77601" w:rsidRPr="00EA1933">
        <w:rPr>
          <w:bCs/>
          <w:sz w:val="28"/>
          <w:szCs w:val="28"/>
        </w:rPr>
        <w:t>она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</w:t>
      </w:r>
      <w:r w:rsidRPr="00EA1933">
        <w:rPr>
          <w:bCs/>
          <w:sz w:val="28"/>
          <w:szCs w:val="28"/>
        </w:rPr>
        <w:t>р</w:t>
      </w:r>
      <w:r w:rsidRPr="00EA1933">
        <w:rPr>
          <w:bCs/>
          <w:sz w:val="28"/>
          <w:szCs w:val="28"/>
        </w:rPr>
        <w:t>ганизациям реального сектора экономики, субъектов малого и среднего бизн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р</w:t>
      </w:r>
      <w:r w:rsidR="00E77601" w:rsidRPr="00EA1933">
        <w:rPr>
          <w:bCs/>
          <w:sz w:val="28"/>
          <w:szCs w:val="28"/>
        </w:rPr>
        <w:t>айонной</w:t>
      </w:r>
      <w:r w:rsidRPr="00EA1933">
        <w:rPr>
          <w:bCs/>
          <w:sz w:val="28"/>
          <w:szCs w:val="28"/>
        </w:rPr>
        <w:t xml:space="preserve"> собственностью, увеличению доходов от ее использов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ния.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7FA1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ресурсов из выш</w:t>
      </w:r>
      <w:r w:rsidRPr="002D7FA1">
        <w:rPr>
          <w:rFonts w:ascii="Times New Roman" w:hAnsi="Times New Roman" w:cs="Times New Roman"/>
          <w:sz w:val="28"/>
          <w:szCs w:val="28"/>
        </w:rPr>
        <w:t>е</w:t>
      </w:r>
      <w:r w:rsidRPr="002D7FA1">
        <w:rPr>
          <w:rFonts w:ascii="Times New Roman" w:hAnsi="Times New Roman" w:cs="Times New Roman"/>
          <w:sz w:val="28"/>
          <w:szCs w:val="28"/>
        </w:rPr>
        <w:t>стоящего бюджета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предстоит работа </w:t>
      </w:r>
      <w:proofErr w:type="gramStart"/>
      <w:r w:rsidRPr="00EA1933">
        <w:rPr>
          <w:rFonts w:ascii="Times New Roman" w:hAnsi="Times New Roman" w:cs="Times New Roman"/>
          <w:sz w:val="28"/>
          <w:szCs w:val="28"/>
        </w:rPr>
        <w:t xml:space="preserve">с </w:t>
      </w:r>
      <w:r w:rsidR="00EA1933" w:rsidRPr="00EA1933">
        <w:rPr>
          <w:rFonts w:ascii="Times New Roman" w:hAnsi="Times New Roman" w:cs="Times New Roman"/>
          <w:sz w:val="28"/>
          <w:szCs w:val="28"/>
        </w:rPr>
        <w:t>м</w:t>
      </w:r>
      <w:r w:rsidR="00225EEE" w:rsidRPr="00EA1933">
        <w:rPr>
          <w:rFonts w:ascii="Times New Roman" w:hAnsi="Times New Roman" w:cs="Times New Roman"/>
          <w:sz w:val="28"/>
          <w:szCs w:val="28"/>
        </w:rPr>
        <w:t>инистерствами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по</w:t>
      </w:r>
      <w:r w:rsid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>продвижению</w:t>
      </w:r>
      <w:r w:rsidR="00797728">
        <w:rPr>
          <w:rFonts w:ascii="Times New Roman" w:hAnsi="Times New Roman" w:cs="Times New Roman"/>
          <w:sz w:val="28"/>
          <w:szCs w:val="28"/>
        </w:rPr>
        <w:t xml:space="preserve"> </w:t>
      </w:r>
      <w:r w:rsid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>редложений</w:t>
      </w:r>
      <w:r w:rsidR="00797728">
        <w:rPr>
          <w:rFonts w:ascii="Times New Roman" w:hAnsi="Times New Roman" w:cs="Times New Roman"/>
          <w:sz w:val="28"/>
          <w:szCs w:val="28"/>
        </w:rPr>
        <w:t xml:space="preserve"> о</w:t>
      </w:r>
      <w:r w:rsidR="00225EEE" w:rsidRPr="00EA1933">
        <w:rPr>
          <w:rFonts w:ascii="Times New Roman" w:hAnsi="Times New Roman" w:cs="Times New Roman"/>
          <w:sz w:val="28"/>
          <w:szCs w:val="28"/>
        </w:rPr>
        <w:t xml:space="preserve">  </w:t>
      </w:r>
      <w:r w:rsidR="00EA1933" w:rsidRPr="00EA1933">
        <w:rPr>
          <w:rFonts w:ascii="Times New Roman" w:hAnsi="Times New Roman" w:cs="Times New Roman"/>
          <w:sz w:val="28"/>
          <w:szCs w:val="28"/>
        </w:rPr>
        <w:t>приняти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 xml:space="preserve"> в рамках взаимодействия по реализации</w:t>
      </w:r>
      <w:proofErr w:type="gramEnd"/>
      <w:r w:rsidRPr="00EA193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>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условиях ограничения финансовых ресурсов в новом бюджетном цикле требуется сконцентрировать усилия </w:t>
      </w:r>
      <w:r w:rsidRPr="002D7FA1">
        <w:rPr>
          <w:bCs/>
          <w:sz w:val="28"/>
          <w:szCs w:val="28"/>
        </w:rPr>
        <w:t>на ключевых задачах, требующих безу</w:t>
      </w:r>
      <w:r w:rsidRPr="002D7FA1">
        <w:rPr>
          <w:bCs/>
          <w:sz w:val="28"/>
          <w:szCs w:val="28"/>
        </w:rPr>
        <w:t>с</w:t>
      </w:r>
      <w:r w:rsidRPr="002D7FA1">
        <w:rPr>
          <w:bCs/>
          <w:sz w:val="28"/>
          <w:szCs w:val="28"/>
        </w:rPr>
        <w:t>ловного и полного решения</w:t>
      </w:r>
      <w:r w:rsidRPr="00EA1933">
        <w:rPr>
          <w:bCs/>
          <w:sz w:val="28"/>
          <w:szCs w:val="28"/>
        </w:rPr>
        <w:t xml:space="preserve"> в очередном финансовом году и плановом периоде.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И, в первую очередь, дорожных карт на исполнение «майских указов»</w:t>
      </w:r>
      <w:r w:rsidR="00E77601"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 xml:space="preserve"> Исходя из приоритета социальных обязательств, неизбежна  </w:t>
      </w:r>
      <w:r w:rsidRPr="002D7FA1">
        <w:rPr>
          <w:bCs/>
          <w:sz w:val="28"/>
          <w:szCs w:val="28"/>
        </w:rPr>
        <w:t xml:space="preserve">оптимизация </w:t>
      </w:r>
      <w:r w:rsidRPr="00EA1933">
        <w:rPr>
          <w:bCs/>
          <w:sz w:val="28"/>
          <w:szCs w:val="28"/>
        </w:rPr>
        <w:t xml:space="preserve">сети учреждений и расходов на содержание органов </w:t>
      </w:r>
      <w:r w:rsidR="00797728">
        <w:rPr>
          <w:bCs/>
          <w:sz w:val="28"/>
          <w:szCs w:val="28"/>
        </w:rPr>
        <w:t>местного самоуправления</w:t>
      </w:r>
      <w:r w:rsidRPr="00EA1933">
        <w:rPr>
          <w:bCs/>
          <w:sz w:val="28"/>
          <w:szCs w:val="28"/>
        </w:rPr>
        <w:t xml:space="preserve">, </w:t>
      </w:r>
      <w:proofErr w:type="gramStart"/>
      <w:r w:rsidRPr="00EA1933">
        <w:rPr>
          <w:bCs/>
          <w:sz w:val="28"/>
          <w:szCs w:val="28"/>
        </w:rPr>
        <w:t>к</w:t>
      </w:r>
      <w:proofErr w:type="gramEnd"/>
      <w:r w:rsidRPr="00EA1933">
        <w:rPr>
          <w:bCs/>
          <w:sz w:val="28"/>
          <w:szCs w:val="28"/>
        </w:rPr>
        <w:t xml:space="preserve"> 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торой необходимо подойти взвешенно и скрупулезно.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ужесточение финансовой дисциплины;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качества администрирования доходов р</w:t>
      </w:r>
      <w:r w:rsidR="00E77601" w:rsidRPr="00EA1933">
        <w:rPr>
          <w:bCs/>
          <w:sz w:val="28"/>
          <w:szCs w:val="28"/>
        </w:rPr>
        <w:t>айонного</w:t>
      </w:r>
      <w:r w:rsidRPr="00EA1933">
        <w:rPr>
          <w:bCs/>
          <w:sz w:val="28"/>
          <w:szCs w:val="28"/>
        </w:rPr>
        <w:t xml:space="preserve"> бю</w:t>
      </w:r>
      <w:r w:rsidRPr="00EA1933">
        <w:rPr>
          <w:bCs/>
          <w:sz w:val="28"/>
          <w:szCs w:val="28"/>
        </w:rPr>
        <w:t>д</w:t>
      </w:r>
      <w:r w:rsidRPr="00EA1933">
        <w:rPr>
          <w:bCs/>
          <w:sz w:val="28"/>
          <w:szCs w:val="28"/>
        </w:rPr>
        <w:t>жета;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операционной эффективности расходования бюдже</w:t>
      </w:r>
      <w:r w:rsidRPr="00EA1933">
        <w:rPr>
          <w:bCs/>
          <w:sz w:val="28"/>
          <w:szCs w:val="28"/>
        </w:rPr>
        <w:t>т</w:t>
      </w:r>
      <w:r w:rsidRPr="00EA1933">
        <w:rPr>
          <w:bCs/>
          <w:sz w:val="28"/>
          <w:szCs w:val="28"/>
        </w:rPr>
        <w:t>ных средств;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активное использование такого ограничительного инструмента, как предельные объемы финансирования;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вопросов.</w:t>
      </w:r>
      <w:r w:rsidRPr="00EA1933">
        <w:rPr>
          <w:bCs/>
          <w:sz w:val="28"/>
          <w:szCs w:val="28"/>
        </w:rPr>
        <w:tab/>
        <w:t xml:space="preserve">  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lastRenderedPageBreak/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районе необходимо </w:t>
      </w:r>
      <w:r w:rsidR="00AB7140" w:rsidRPr="00EA1933">
        <w:rPr>
          <w:bCs/>
          <w:snapToGrid w:val="0"/>
          <w:sz w:val="28"/>
          <w:szCs w:val="28"/>
        </w:rPr>
        <w:t xml:space="preserve">завершить </w:t>
      </w:r>
      <w:r w:rsidRPr="00EA1933">
        <w:rPr>
          <w:bCs/>
          <w:snapToGrid w:val="0"/>
          <w:sz w:val="28"/>
          <w:szCs w:val="28"/>
        </w:rPr>
        <w:t>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формирование муниципальных заданий, начиная с 201</w:t>
      </w:r>
      <w:r w:rsidR="00AB7140" w:rsidRPr="00EA1933">
        <w:rPr>
          <w:bCs/>
          <w:snapToGrid w:val="0"/>
          <w:sz w:val="28"/>
          <w:szCs w:val="28"/>
        </w:rPr>
        <w:t>7</w:t>
      </w:r>
      <w:r w:rsidRPr="00EA1933">
        <w:rPr>
          <w:bCs/>
          <w:snapToGrid w:val="0"/>
          <w:sz w:val="28"/>
          <w:szCs w:val="28"/>
        </w:rPr>
        <w:t xml:space="preserve"> года, на основе базовых (отраслевых) перечней государственных и муниципальных услуг и р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бот, разработанных федеральными и республиканскими органами исполн</w:t>
      </w:r>
      <w:r w:rsidRPr="00EA1933">
        <w:rPr>
          <w:bCs/>
          <w:snapToGrid w:val="0"/>
          <w:sz w:val="28"/>
          <w:szCs w:val="28"/>
        </w:rPr>
        <w:t>и</w:t>
      </w:r>
      <w:r w:rsidRPr="00EA1933">
        <w:rPr>
          <w:bCs/>
          <w:snapToGrid w:val="0"/>
          <w:sz w:val="28"/>
          <w:szCs w:val="28"/>
        </w:rPr>
        <w:t>тельной власти, органами местного самоуправления муниципального района,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53A38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 xml:space="preserve">циации в стоимости однотипных </w:t>
      </w:r>
      <w:r w:rsidR="00AB7140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</w:t>
      </w:r>
      <w:r w:rsidR="00AC5104" w:rsidRPr="00EA1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местных бюджетов </w:t>
      </w:r>
      <w:r w:rsidR="00DA6F63" w:rsidRPr="00EA1933">
        <w:rPr>
          <w:sz w:val="28"/>
          <w:szCs w:val="28"/>
        </w:rPr>
        <w:t>сел</w:t>
      </w:r>
      <w:r w:rsidR="00DA6F63" w:rsidRPr="00EA1933">
        <w:rPr>
          <w:sz w:val="28"/>
          <w:szCs w:val="28"/>
        </w:rPr>
        <w:t>ь</w:t>
      </w:r>
      <w:r w:rsidR="00DA6F63" w:rsidRPr="00EA1933">
        <w:rPr>
          <w:sz w:val="28"/>
          <w:szCs w:val="28"/>
        </w:rPr>
        <w:t>ски</w:t>
      </w:r>
      <w:r w:rsidR="00797728">
        <w:rPr>
          <w:sz w:val="28"/>
          <w:szCs w:val="28"/>
        </w:rPr>
        <w:t>х</w:t>
      </w:r>
      <w:r w:rsidR="00DA6F63" w:rsidRPr="00EA1933">
        <w:rPr>
          <w:sz w:val="28"/>
          <w:szCs w:val="28"/>
        </w:rPr>
        <w:t xml:space="preserve"> поселени</w:t>
      </w:r>
      <w:r w:rsidR="00797728"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органов местного самоуправления в увеличении доходной базы местных бюджетов </w:t>
      </w:r>
      <w:r w:rsidR="00AB7140" w:rsidRPr="00EA1933">
        <w:rPr>
          <w:sz w:val="28"/>
          <w:szCs w:val="28"/>
        </w:rPr>
        <w:t>применить</w:t>
      </w:r>
      <w:r w:rsidRPr="00EA1933">
        <w:rPr>
          <w:sz w:val="28"/>
          <w:szCs w:val="28"/>
        </w:rPr>
        <w:t xml:space="preserve"> установлени</w:t>
      </w:r>
      <w:r w:rsidR="00AB7140" w:rsidRPr="00EA1933">
        <w:rPr>
          <w:sz w:val="28"/>
          <w:szCs w:val="28"/>
        </w:rPr>
        <w:t>е</w:t>
      </w:r>
      <w:r w:rsidRPr="00EA1933">
        <w:rPr>
          <w:sz w:val="28"/>
          <w:szCs w:val="28"/>
        </w:rPr>
        <w:t xml:space="preserve"> дополнительных нормативов отчислений </w:t>
      </w:r>
      <w:proofErr w:type="gramStart"/>
      <w:r w:rsidRPr="00EA1933">
        <w:rPr>
          <w:sz w:val="28"/>
          <w:szCs w:val="28"/>
        </w:rPr>
        <w:t xml:space="preserve">от налога на доходы физических лиц в </w:t>
      </w:r>
      <w:r w:rsidR="00AB7140" w:rsidRPr="00EA1933">
        <w:rPr>
          <w:sz w:val="28"/>
          <w:szCs w:val="28"/>
        </w:rPr>
        <w:t>сельски</w:t>
      </w:r>
      <w:r w:rsidR="00525AD4">
        <w:rPr>
          <w:sz w:val="28"/>
          <w:szCs w:val="28"/>
        </w:rPr>
        <w:t xml:space="preserve">х </w:t>
      </w:r>
      <w:r w:rsidR="00AB7140" w:rsidRPr="00EA1933">
        <w:rPr>
          <w:sz w:val="28"/>
          <w:szCs w:val="28"/>
        </w:rPr>
        <w:t>пос</w:t>
      </w:r>
      <w:r w:rsidR="00AB7140" w:rsidRPr="00EA1933">
        <w:rPr>
          <w:sz w:val="28"/>
          <w:szCs w:val="28"/>
        </w:rPr>
        <w:t>е</w:t>
      </w:r>
      <w:r w:rsidR="00AB7140" w:rsidRPr="00EA1933">
        <w:rPr>
          <w:sz w:val="28"/>
          <w:szCs w:val="28"/>
        </w:rPr>
        <w:t>лени</w:t>
      </w:r>
      <w:r w:rsidR="00525AD4">
        <w:rPr>
          <w:sz w:val="28"/>
          <w:szCs w:val="28"/>
        </w:rPr>
        <w:t>й</w:t>
      </w:r>
      <w:r w:rsidRPr="00EA1933">
        <w:rPr>
          <w:sz w:val="28"/>
          <w:szCs w:val="28"/>
        </w:rPr>
        <w:t xml:space="preserve"> по согласованию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зований.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среднесрочном периоде будет продолжено развитие повышение качества и прозрачности </w:t>
      </w:r>
      <w:r w:rsidRPr="002D7FA1">
        <w:rPr>
          <w:sz w:val="28"/>
          <w:szCs w:val="28"/>
        </w:rPr>
        <w:t xml:space="preserve">внутреннего </w:t>
      </w:r>
      <w:r w:rsidR="00DA6F63" w:rsidRPr="002D7FA1">
        <w:rPr>
          <w:sz w:val="28"/>
          <w:szCs w:val="28"/>
        </w:rPr>
        <w:t>муниципального</w:t>
      </w:r>
      <w:r w:rsidRPr="002D7FA1">
        <w:rPr>
          <w:sz w:val="28"/>
          <w:szCs w:val="28"/>
        </w:rPr>
        <w:t xml:space="preserve"> финансового</w:t>
      </w:r>
      <w:r w:rsidRPr="00EA1933">
        <w:rPr>
          <w:sz w:val="28"/>
          <w:szCs w:val="28"/>
        </w:rPr>
        <w:t xml:space="preserve"> контроля, деятел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ность которого  будет направлена на неукоснительное соблюдение, а также профилактику и предупреждение нарушений бюджетного законодательства Российской Федерации и законодательства о контрактной системе в сфере з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купок.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Необходимо осуществлять всесторонний анализ системы внутреннего ф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>нансового контроля и аудита, обеспечивающий более полный и своевременный контроль внутренних бюджетных процедур, результатом которого станет пр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нятие управленческих решений, направленных на устранение недостатков и </w:t>
      </w:r>
      <w:r w:rsidRPr="00EA1933">
        <w:rPr>
          <w:sz w:val="28"/>
          <w:szCs w:val="28"/>
        </w:rPr>
        <w:lastRenderedPageBreak/>
        <w:t>снижение рисков, повышение качества финансовой и исполнительской дисци</w:t>
      </w:r>
      <w:r w:rsidRPr="00EA1933">
        <w:rPr>
          <w:sz w:val="28"/>
          <w:szCs w:val="28"/>
        </w:rPr>
        <w:t>п</w:t>
      </w:r>
      <w:r w:rsidRPr="00EA1933">
        <w:rPr>
          <w:sz w:val="28"/>
          <w:szCs w:val="28"/>
        </w:rPr>
        <w:t xml:space="preserve">лины </w:t>
      </w:r>
      <w:r w:rsidR="00525AD4">
        <w:rPr>
          <w:sz w:val="28"/>
          <w:szCs w:val="28"/>
        </w:rPr>
        <w:t>органов местного самоуправления и сельских поселений</w:t>
      </w:r>
      <w:r w:rsidRPr="00EA1933">
        <w:rPr>
          <w:sz w:val="28"/>
          <w:szCs w:val="28"/>
        </w:rPr>
        <w:t>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Сэкономить бюджетные средства и предотвратить значительное количес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во неумышленных нарушений при проведении закупок позволит централизация муниципальных закупок, финансовое обеспечение которых частично или по</w:t>
      </w:r>
      <w:r w:rsidRPr="00EA1933">
        <w:rPr>
          <w:sz w:val="28"/>
          <w:szCs w:val="28"/>
        </w:rPr>
        <w:t>л</w:t>
      </w:r>
      <w:r w:rsidRPr="00EA1933">
        <w:rPr>
          <w:sz w:val="28"/>
          <w:szCs w:val="28"/>
        </w:rPr>
        <w:t>ностью осуществляется за счет целевых межбюджетных трансфертов, через и</w:t>
      </w:r>
      <w:r w:rsidRPr="00EA1933">
        <w:rPr>
          <w:sz w:val="28"/>
          <w:szCs w:val="28"/>
        </w:rPr>
        <w:t>с</w:t>
      </w:r>
      <w:r w:rsidRPr="00EA1933">
        <w:rPr>
          <w:sz w:val="28"/>
          <w:szCs w:val="28"/>
        </w:rPr>
        <w:t>полнительный орган государственной власти Республики Бурятия, куриру</w:t>
      </w:r>
      <w:r w:rsidRPr="00EA1933">
        <w:rPr>
          <w:sz w:val="28"/>
          <w:szCs w:val="28"/>
        </w:rPr>
        <w:t>ю</w:t>
      </w:r>
      <w:r w:rsidRPr="00EA1933">
        <w:rPr>
          <w:sz w:val="28"/>
          <w:szCs w:val="28"/>
        </w:rPr>
        <w:t>щий данную сферу деятельности.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Еще одним значимым направлением работы в предстоящем периоде будет являться обеспечение прозрачности</w:t>
      </w:r>
      <w:r w:rsidRPr="00EA1933">
        <w:rPr>
          <w:b/>
          <w:sz w:val="28"/>
          <w:szCs w:val="28"/>
        </w:rPr>
        <w:t xml:space="preserve"> </w:t>
      </w:r>
      <w:r w:rsidRPr="002D7FA1">
        <w:rPr>
          <w:sz w:val="28"/>
          <w:szCs w:val="28"/>
        </w:rPr>
        <w:t>и открытости</w:t>
      </w:r>
      <w:r w:rsidRPr="00EA1933">
        <w:rPr>
          <w:sz w:val="28"/>
          <w:szCs w:val="28"/>
        </w:rPr>
        <w:t xml:space="preserve"> бюджетного процесса путем вовлечения граждан в процедуры обсуждения и принятия бюджетных решений.  </w:t>
      </w:r>
    </w:p>
    <w:p w:rsidR="00351DD2" w:rsidRPr="00EA1933" w:rsidRDefault="00351DD2" w:rsidP="00351DD2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933">
        <w:rPr>
          <w:rFonts w:ascii="Times New Roman" w:hAnsi="Times New Roman"/>
          <w:sz w:val="28"/>
          <w:szCs w:val="28"/>
        </w:rPr>
        <w:t xml:space="preserve">В рамках данного направления необходимо </w:t>
      </w:r>
      <w:r w:rsidR="001E082C" w:rsidRPr="00EA1933">
        <w:rPr>
          <w:rFonts w:ascii="Times New Roman" w:hAnsi="Times New Roman"/>
          <w:sz w:val="28"/>
          <w:szCs w:val="28"/>
        </w:rPr>
        <w:t xml:space="preserve">применить опыт </w:t>
      </w:r>
      <w:r w:rsidRPr="00EA1933">
        <w:rPr>
          <w:rFonts w:ascii="Times New Roman" w:hAnsi="Times New Roman"/>
          <w:sz w:val="28"/>
          <w:szCs w:val="28"/>
        </w:rPr>
        <w:t xml:space="preserve">по  публикации бюджетных данных </w:t>
      </w:r>
      <w:r w:rsidR="001E082C" w:rsidRPr="00EA1933">
        <w:rPr>
          <w:rFonts w:ascii="Times New Roman" w:hAnsi="Times New Roman"/>
          <w:sz w:val="28"/>
          <w:szCs w:val="28"/>
        </w:rPr>
        <w:t xml:space="preserve">на </w:t>
      </w:r>
      <w:r w:rsidR="00EA1933">
        <w:rPr>
          <w:rFonts w:ascii="Times New Roman" w:hAnsi="Times New Roman"/>
          <w:sz w:val="28"/>
          <w:szCs w:val="28"/>
        </w:rPr>
        <w:t xml:space="preserve">официальном </w:t>
      </w:r>
      <w:r w:rsidR="001E082C" w:rsidRPr="00EA1933">
        <w:rPr>
          <w:rFonts w:ascii="Times New Roman" w:hAnsi="Times New Roman"/>
          <w:sz w:val="28"/>
          <w:szCs w:val="28"/>
        </w:rPr>
        <w:t xml:space="preserve">сайте </w:t>
      </w:r>
      <w:r w:rsidR="003537E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0FED">
        <w:rPr>
          <w:rFonts w:ascii="Times New Roman" w:hAnsi="Times New Roman"/>
          <w:sz w:val="28"/>
          <w:szCs w:val="28"/>
        </w:rPr>
        <w:t xml:space="preserve"> СП </w:t>
      </w:r>
      <w:r w:rsidR="003537E0">
        <w:rPr>
          <w:rFonts w:ascii="Times New Roman" w:hAnsi="Times New Roman"/>
          <w:sz w:val="28"/>
          <w:szCs w:val="28"/>
        </w:rPr>
        <w:t>«</w:t>
      </w:r>
      <w:proofErr w:type="spellStart"/>
      <w:r w:rsidR="00B30A0A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3537E0">
        <w:rPr>
          <w:rFonts w:ascii="Times New Roman" w:hAnsi="Times New Roman"/>
          <w:sz w:val="28"/>
          <w:szCs w:val="28"/>
        </w:rPr>
        <w:t>»</w:t>
      </w:r>
      <w:r w:rsidR="001E082C" w:rsidRPr="00EA1933">
        <w:rPr>
          <w:rFonts w:ascii="Times New Roman" w:hAnsi="Times New Roman"/>
          <w:sz w:val="28"/>
          <w:szCs w:val="28"/>
        </w:rPr>
        <w:t xml:space="preserve"> </w:t>
      </w:r>
      <w:r w:rsidRPr="00EA1933">
        <w:rPr>
          <w:rFonts w:ascii="Times New Roman" w:hAnsi="Times New Roman"/>
          <w:sz w:val="28"/>
          <w:szCs w:val="28"/>
        </w:rPr>
        <w:t xml:space="preserve">брошюры «Бюджет для </w:t>
      </w:r>
      <w:r w:rsidR="00EA1933">
        <w:rPr>
          <w:rFonts w:ascii="Times New Roman" w:hAnsi="Times New Roman"/>
          <w:sz w:val="28"/>
          <w:szCs w:val="28"/>
        </w:rPr>
        <w:t>граждан</w:t>
      </w:r>
      <w:r w:rsidRPr="00EA1933">
        <w:rPr>
          <w:rFonts w:ascii="Times New Roman" w:hAnsi="Times New Roman"/>
          <w:sz w:val="28"/>
          <w:szCs w:val="28"/>
        </w:rPr>
        <w:t>».</w:t>
      </w:r>
    </w:p>
    <w:p w:rsidR="00B64236" w:rsidRPr="003E1337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sectPr w:rsidR="00B64236" w:rsidRPr="003E1337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B3" w:rsidRDefault="00037DB3" w:rsidP="0051243F">
      <w:r>
        <w:separator/>
      </w:r>
    </w:p>
  </w:endnote>
  <w:endnote w:type="continuationSeparator" w:id="0">
    <w:p w:rsidR="00037DB3" w:rsidRDefault="00037DB3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B3" w:rsidRDefault="00037DB3" w:rsidP="0051243F">
      <w:r>
        <w:separator/>
      </w:r>
    </w:p>
  </w:footnote>
  <w:footnote w:type="continuationSeparator" w:id="0">
    <w:p w:rsidR="00037DB3" w:rsidRDefault="00037DB3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321A8E">
    <w:pPr>
      <w:pStyle w:val="a3"/>
      <w:jc w:val="center"/>
    </w:pPr>
    <w:fldSimple w:instr=" PAGE   \* MERGEFORMAT ">
      <w:r w:rsidR="0030240D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36887"/>
    <w:rsid w:val="00037DB3"/>
    <w:rsid w:val="00042E64"/>
    <w:rsid w:val="0004570F"/>
    <w:rsid w:val="000531B2"/>
    <w:rsid w:val="00065343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2F22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0240D"/>
    <w:rsid w:val="00315700"/>
    <w:rsid w:val="00320FED"/>
    <w:rsid w:val="00321A8E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3E38"/>
    <w:rsid w:val="00405834"/>
    <w:rsid w:val="004150FF"/>
    <w:rsid w:val="00421427"/>
    <w:rsid w:val="004241BC"/>
    <w:rsid w:val="00427390"/>
    <w:rsid w:val="004379F0"/>
    <w:rsid w:val="0044495B"/>
    <w:rsid w:val="00452FDA"/>
    <w:rsid w:val="004613E3"/>
    <w:rsid w:val="00464C18"/>
    <w:rsid w:val="004673A1"/>
    <w:rsid w:val="00475A82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A0349"/>
    <w:rsid w:val="005B0499"/>
    <w:rsid w:val="005B4D0A"/>
    <w:rsid w:val="005D4855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809CC"/>
    <w:rsid w:val="00784FBB"/>
    <w:rsid w:val="00795C9C"/>
    <w:rsid w:val="00797728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C4829"/>
    <w:rsid w:val="008D0AFC"/>
    <w:rsid w:val="008D16C6"/>
    <w:rsid w:val="008D554E"/>
    <w:rsid w:val="008E1EF2"/>
    <w:rsid w:val="008F62CB"/>
    <w:rsid w:val="009019B5"/>
    <w:rsid w:val="0091170A"/>
    <w:rsid w:val="00927DA8"/>
    <w:rsid w:val="00932BBE"/>
    <w:rsid w:val="00933B08"/>
    <w:rsid w:val="00941327"/>
    <w:rsid w:val="0096154C"/>
    <w:rsid w:val="00961E09"/>
    <w:rsid w:val="00963B4C"/>
    <w:rsid w:val="009721DE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10A1"/>
    <w:rsid w:val="00A14686"/>
    <w:rsid w:val="00A26BE4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567A"/>
    <w:rsid w:val="00AB7140"/>
    <w:rsid w:val="00AC31F2"/>
    <w:rsid w:val="00AC4E90"/>
    <w:rsid w:val="00AC5104"/>
    <w:rsid w:val="00AE1420"/>
    <w:rsid w:val="00AF0F3F"/>
    <w:rsid w:val="00B06A00"/>
    <w:rsid w:val="00B06A55"/>
    <w:rsid w:val="00B12588"/>
    <w:rsid w:val="00B12DEA"/>
    <w:rsid w:val="00B24C36"/>
    <w:rsid w:val="00B256C7"/>
    <w:rsid w:val="00B30A0A"/>
    <w:rsid w:val="00B33504"/>
    <w:rsid w:val="00B4108B"/>
    <w:rsid w:val="00B4457D"/>
    <w:rsid w:val="00B52E0C"/>
    <w:rsid w:val="00B64236"/>
    <w:rsid w:val="00B6701F"/>
    <w:rsid w:val="00B73DC0"/>
    <w:rsid w:val="00B76FE0"/>
    <w:rsid w:val="00B838FF"/>
    <w:rsid w:val="00B90A48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4791"/>
    <w:rsid w:val="00C17095"/>
    <w:rsid w:val="00C37EE3"/>
    <w:rsid w:val="00C43517"/>
    <w:rsid w:val="00C50C32"/>
    <w:rsid w:val="00C73003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F1DB7"/>
    <w:rsid w:val="00E012FF"/>
    <w:rsid w:val="00E11287"/>
    <w:rsid w:val="00E13DA4"/>
    <w:rsid w:val="00E15190"/>
    <w:rsid w:val="00E15F5D"/>
    <w:rsid w:val="00E20C89"/>
    <w:rsid w:val="00E400C7"/>
    <w:rsid w:val="00E44ED8"/>
    <w:rsid w:val="00E467E6"/>
    <w:rsid w:val="00E472A2"/>
    <w:rsid w:val="00E645C8"/>
    <w:rsid w:val="00E67263"/>
    <w:rsid w:val="00E74D6E"/>
    <w:rsid w:val="00E77601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D1AEC"/>
    <w:rsid w:val="00ED44F7"/>
    <w:rsid w:val="00EE5233"/>
    <w:rsid w:val="00EF136D"/>
    <w:rsid w:val="00EF1B08"/>
    <w:rsid w:val="00EF3CCC"/>
    <w:rsid w:val="00EF69A2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1187B6-159A-4E8F-9AE0-C1F23C6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Office</cp:lastModifiedBy>
  <cp:revision>2</cp:revision>
  <cp:lastPrinted>2016-11-15T07:29:00Z</cp:lastPrinted>
  <dcterms:created xsi:type="dcterms:W3CDTF">2016-11-17T03:57:00Z</dcterms:created>
  <dcterms:modified xsi:type="dcterms:W3CDTF">2016-11-17T03:57:00Z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